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br/>
        <w:br/>
        <w:br/>
      </w:r>
    </w:p>
    <w:p>
      <w:pPr>
        <w:jc w:val="center"/>
      </w:pPr>
      <w:r>
        <w:rPr>
          <w:b/>
          <w:color w:val="B58A32"/>
          <w:sz w:val="20"/>
        </w:rPr>
        <w:t>MASTER OPERATING GUIDE</w:t>
      </w:r>
    </w:p>
    <w:p>
      <w:pPr>
        <w:pStyle w:val="Title"/>
        <w:jc w:val="center"/>
      </w:pPr>
      <w:r>
        <w:t>The Gravity System</w:t>
        <w:br/>
        <w:t>Quick Start &amp; Integration Guide</w:t>
      </w:r>
    </w:p>
    <w:p>
      <w:pPr>
        <w:pStyle w:val="Subtitle"/>
        <w:jc w:val="center"/>
      </w:pPr>
      <w:r>
        <w:t>How to start, choose the right system, move work between systems, and verify completion.</w:t>
      </w:r>
    </w:p>
    <w:p>
      <w:pPr>
        <w:jc w:val="center"/>
      </w:pPr>
      <w:r>
        <w:rPr>
          <w:b/>
          <w:color w:val="17365D"/>
          <w:sz w:val="22"/>
        </w:rPr>
        <w:t>Customer-use master guide | Final operational validation edition</w:t>
      </w:r>
    </w:p>
    <w:p>
      <w:r>
        <w:br/>
        <w:br/>
      </w:r>
    </w:p>
    <w:p>
      <w:pPr>
        <w:jc w:val="center"/>
      </w:pPr>
      <w:r>
        <w:rPr>
          <w:b/>
          <w:color w:val="5B6573"/>
          <w:sz w:val="20"/>
        </w:rPr>
        <w:t>THE GRAVITY RESTAURANT LEADERSHIP SYSTEM</w:t>
      </w:r>
    </w:p>
    <w:p>
      <w:pPr>
        <w:jc w:val="center"/>
      </w:pPr>
      <w:r>
        <w:rPr>
          <w:color w:val="5B6573"/>
          <w:sz w:val="18"/>
        </w:rPr>
        <w:t>Published by Thomas Monroe Books  |  Author: Thomas Butler</w:t>
      </w:r>
    </w:p>
    <w:p>
      <w:r>
        <w:br w:type="page"/>
      </w:r>
    </w:p>
    <w:p>
      <w:pPr>
        <w:pStyle w:val="Heading1"/>
      </w:pPr>
      <w:r>
        <w:t>Start Here</w:t>
      </w:r>
    </w:p>
    <w:p>
      <w:r>
        <w:t>The Gravity Restaurant Leadership System is not seven separate binders that must be launched at once. It is a connected control structure. Begin with one defined business problem, choose the system that owns that problem, and use Implementation &amp; Verification to install the response. Standards &amp; Intelligence keeps the approved version current.</w:t>
      </w:r>
    </w:p>
    <w:p>
      <w:pPr>
        <w:pStyle w:val="Heading2"/>
      </w:pPr>
      <w:r>
        <w:t>The five-question operating rule</w:t>
      </w:r>
    </w:p>
    <w:p>
      <w:pPr>
        <w:pStyle w:val="ListNumber"/>
        <w:spacing w:after="80" w:line="300" w:lineRule="auto"/>
        <w:ind w:left="540" w:hanging="271"/>
      </w:pPr>
      <w:r>
        <w:t>What result or risk requires attention?</w:t>
      </w:r>
    </w:p>
    <w:p>
      <w:pPr>
        <w:pStyle w:val="ListNumber"/>
        <w:spacing w:after="80" w:line="300" w:lineRule="auto"/>
        <w:ind w:left="540" w:hanging="271"/>
      </w:pPr>
      <w:r>
        <w:t>Which Gravity system owns the subject?</w:t>
      </w:r>
    </w:p>
    <w:p>
      <w:pPr>
        <w:pStyle w:val="ListNumber"/>
        <w:spacing w:after="80" w:line="300" w:lineRule="auto"/>
        <w:ind w:left="540" w:hanging="271"/>
      </w:pPr>
      <w:r>
        <w:t>Which coded tool creates the required decision or record?</w:t>
      </w:r>
    </w:p>
    <w:p>
      <w:pPr>
        <w:pStyle w:val="ListNumber"/>
        <w:spacing w:after="80" w:line="300" w:lineRule="auto"/>
        <w:ind w:left="540" w:hanging="271"/>
      </w:pPr>
      <w:r>
        <w:t>Who owns the action, evidence, deadline, and escalation?</w:t>
      </w:r>
    </w:p>
    <w:p>
      <w:pPr>
        <w:pStyle w:val="ListNumber"/>
        <w:spacing w:after="80" w:line="300" w:lineRule="auto"/>
        <w:ind w:left="540" w:hanging="271"/>
      </w:pPr>
      <w:r>
        <w:t>How will Implementation &amp; Verification prove that the change was adopted and sustained?</w:t>
      </w:r>
    </w:p>
    <w:p>
      <w:pPr>
        <w:pStyle w:val="Heading2"/>
      </w:pPr>
      <w:r>
        <w:t>Do not begin by completing every tool</w:t>
      </w:r>
    </w:p>
    <w:p>
      <w:r>
        <w:t>Use the Tool Index to select only the tools required by the current problem, risk, decision, or implementation. The 30 tools in each system form a complete library; they are not a demand to create 30 records every week.</w:t>
      </w:r>
    </w:p>
    <w:p>
      <w:pPr>
        <w:pStyle w:val="Heading1"/>
      </w:pPr>
      <w:r>
        <w:t>What Each System Owns</w:t>
      </w:r>
    </w:p>
    <w:tbl>
      <w:tblPr>
        <w:tblStyle w:val="TableGrid"/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2200"/>
        <w:gridCol w:w="3560"/>
        <w:gridCol w:w="3600"/>
      </w:tblGrid>
      <w:tr>
        <w:tc>
          <w:tcPr>
            <w:tcW w:type="dxa" w:w="2200"/>
            <w:shd w:fill="E8EEF5"/>
            <w:vAlign w:val="center"/>
          </w:tcPr>
          <w:p>
            <w:r>
              <w:rPr>
                <w:b/>
                <w:color w:val="17365D"/>
                <w:sz w:val="18"/>
              </w:rPr>
              <w:t>System</w:t>
            </w:r>
          </w:p>
        </w:tc>
        <w:tc>
          <w:tcPr>
            <w:tcW w:type="dxa" w:w="3560"/>
            <w:shd w:fill="E8EEF5"/>
            <w:vAlign w:val="center"/>
          </w:tcPr>
          <w:p>
            <w:r>
              <w:rPr>
                <w:b/>
                <w:color w:val="17365D"/>
                <w:sz w:val="18"/>
              </w:rPr>
              <w:t>Primary responsibility</w:t>
            </w:r>
          </w:p>
        </w:tc>
        <w:tc>
          <w:tcPr>
            <w:tcW w:type="dxa" w:w="3600"/>
            <w:shd w:fill="E8EEF5"/>
            <w:vAlign w:val="center"/>
          </w:tcPr>
          <w:p>
            <w:r>
              <w:rPr>
                <w:b/>
                <w:color w:val="17365D"/>
                <w:sz w:val="18"/>
              </w:rPr>
              <w:t>Use it when</w:t>
            </w:r>
          </w:p>
        </w:tc>
      </w:tr>
      <w:tr>
        <w:tc>
          <w:tcPr>
            <w:tcW w:type="dxa" w:w="2200"/>
            <w:vAlign w:val="center"/>
          </w:tcPr>
          <w:p>
            <w:pPr>
              <w:spacing w:after="40" w:line="252" w:lineRule="auto"/>
            </w:pPr>
            <w:r>
              <w:rPr>
                <w:sz w:val="17"/>
              </w:rPr>
              <w:t>Guest Relationship &amp; Retention</w:t>
            </w:r>
          </w:p>
        </w:tc>
        <w:tc>
          <w:tcPr>
            <w:tcW w:type="dxa" w:w="3560"/>
            <w:vAlign w:val="center"/>
          </w:tcPr>
          <w:p>
            <w:pPr>
              <w:spacing w:after="40" w:line="252" w:lineRule="auto"/>
            </w:pPr>
            <w:r>
              <w:rPr>
                <w:sz w:val="17"/>
              </w:rPr>
              <w:t>Protect permission, recognize guests, recover concerns, and verify retention.</w:t>
            </w:r>
          </w:p>
        </w:tc>
        <w:tc>
          <w:tcPr>
            <w:tcW w:type="dxa" w:w="3600"/>
            <w:vAlign w:val="center"/>
          </w:tcPr>
          <w:p>
            <w:pPr>
              <w:spacing w:after="40" w:line="252" w:lineRule="auto"/>
            </w:pPr>
            <w:r>
              <w:rPr>
                <w:sz w:val="17"/>
              </w:rPr>
              <w:t>The issue concerns guest information, recognition, recovery, retention, campaigns, or reviews.</w:t>
            </w:r>
          </w:p>
        </w:tc>
      </w:tr>
      <w:tr>
        <w:tc>
          <w:tcPr>
            <w:tcW w:type="dxa" w:w="2200"/>
            <w:vAlign w:val="center"/>
          </w:tcPr>
          <w:p>
            <w:pPr>
              <w:spacing w:after="40" w:line="252" w:lineRule="auto"/>
            </w:pPr>
            <w:r>
              <w:rPr>
                <w:sz w:val="17"/>
              </w:rPr>
              <w:t>Restaurant Performance &amp; Profitability</w:t>
            </w:r>
          </w:p>
        </w:tc>
        <w:tc>
          <w:tcPr>
            <w:tcW w:type="dxa" w:w="3560"/>
            <w:vAlign w:val="center"/>
          </w:tcPr>
          <w:p>
            <w:pPr>
              <w:spacing w:after="40" w:line="252" w:lineRule="auto"/>
            </w:pPr>
            <w:r>
              <w:rPr>
                <w:sz w:val="17"/>
              </w:rPr>
              <w:t>Translate operating data into controlled profit decisions.</w:t>
            </w:r>
          </w:p>
        </w:tc>
        <w:tc>
          <w:tcPr>
            <w:tcW w:type="dxa" w:w="3600"/>
            <w:vAlign w:val="center"/>
          </w:tcPr>
          <w:p>
            <w:pPr>
              <w:spacing w:after="40" w:line="252" w:lineRule="auto"/>
            </w:pPr>
            <w:r>
              <w:rPr>
                <w:sz w:val="17"/>
              </w:rPr>
              <w:t>The decision concerns sales, costs, mix, margin, leakage, forecasts, or profitability.</w:t>
            </w:r>
          </w:p>
        </w:tc>
      </w:tr>
      <w:tr>
        <w:tc>
          <w:tcPr>
            <w:tcW w:type="dxa" w:w="2200"/>
            <w:vAlign w:val="center"/>
          </w:tcPr>
          <w:p>
            <w:pPr>
              <w:spacing w:after="40" w:line="252" w:lineRule="auto"/>
            </w:pPr>
            <w:r>
              <w:rPr>
                <w:sz w:val="17"/>
              </w:rPr>
              <w:t>Standards &amp; Intelligence Center</w:t>
            </w:r>
          </w:p>
        </w:tc>
        <w:tc>
          <w:tcPr>
            <w:tcW w:type="dxa" w:w="3560"/>
            <w:vAlign w:val="center"/>
          </w:tcPr>
          <w:p>
            <w:pPr>
              <w:spacing w:after="40" w:line="252" w:lineRule="auto"/>
            </w:pPr>
            <w:r>
              <w:rPr>
                <w:sz w:val="17"/>
              </w:rPr>
              <w:t>Control versions, sources, exceptions, changes, and system health.</w:t>
            </w:r>
          </w:p>
        </w:tc>
        <w:tc>
          <w:tcPr>
            <w:tcW w:type="dxa" w:w="3600"/>
            <w:vAlign w:val="center"/>
          </w:tcPr>
          <w:p>
            <w:pPr>
              <w:spacing w:after="40" w:line="252" w:lineRule="auto"/>
            </w:pPr>
            <w:r>
              <w:rPr>
                <w:sz w:val="17"/>
              </w:rPr>
              <w:t>A standard, source, version, exception, vendor, technology, or regulatory change must be controlled.</w:t>
            </w:r>
          </w:p>
        </w:tc>
      </w:tr>
      <w:tr>
        <w:tc>
          <w:tcPr>
            <w:tcW w:type="dxa" w:w="2200"/>
            <w:vAlign w:val="center"/>
          </w:tcPr>
          <w:p>
            <w:pPr>
              <w:spacing w:after="40" w:line="252" w:lineRule="auto"/>
            </w:pPr>
            <w:r>
              <w:rPr>
                <w:sz w:val="17"/>
              </w:rPr>
              <w:t>Risk &amp; Continuity</w:t>
            </w:r>
          </w:p>
        </w:tc>
        <w:tc>
          <w:tcPr>
            <w:tcW w:type="dxa" w:w="3560"/>
            <w:vAlign w:val="center"/>
          </w:tcPr>
          <w:p>
            <w:pPr>
              <w:spacing w:after="40" w:line="252" w:lineRule="auto"/>
            </w:pPr>
            <w:r>
              <w:rPr>
                <w:sz w:val="17"/>
              </w:rPr>
              <w:t>Prepare for disruption, manage incidents, recover, and reopen safely.</w:t>
            </w:r>
          </w:p>
        </w:tc>
        <w:tc>
          <w:tcPr>
            <w:tcW w:type="dxa" w:w="3600"/>
            <w:vAlign w:val="center"/>
          </w:tcPr>
          <w:p>
            <w:pPr>
              <w:spacing w:after="40" w:line="252" w:lineRule="auto"/>
            </w:pPr>
            <w:r>
              <w:rPr>
                <w:sz w:val="17"/>
              </w:rPr>
              <w:t>A threat could interrupt people, facilities, food safety, technology, suppliers, payments, or operations.</w:t>
            </w:r>
          </w:p>
        </w:tc>
      </w:tr>
      <w:tr>
        <w:tc>
          <w:tcPr>
            <w:tcW w:type="dxa" w:w="2200"/>
            <w:vAlign w:val="center"/>
          </w:tcPr>
          <w:p>
            <w:pPr>
              <w:spacing w:after="40" w:line="252" w:lineRule="auto"/>
            </w:pPr>
            <w:r>
              <w:rPr>
                <w:sz w:val="17"/>
              </w:rPr>
              <w:t>Growth &amp; Sales Building</w:t>
            </w:r>
          </w:p>
        </w:tc>
        <w:tc>
          <w:tcPr>
            <w:tcW w:type="dxa" w:w="3560"/>
            <w:vAlign w:val="center"/>
          </w:tcPr>
          <w:p>
            <w:pPr>
              <w:spacing w:after="40" w:line="252" w:lineRule="auto"/>
            </w:pPr>
            <w:r>
              <w:rPr>
                <w:sz w:val="17"/>
              </w:rPr>
              <w:t>Build qualified demand without outrunning capacity or margin.</w:t>
            </w:r>
          </w:p>
        </w:tc>
        <w:tc>
          <w:tcPr>
            <w:tcW w:type="dxa" w:w="3600"/>
            <w:vAlign w:val="center"/>
          </w:tcPr>
          <w:p>
            <w:pPr>
              <w:spacing w:after="40" w:line="252" w:lineRule="auto"/>
            </w:pPr>
            <w:r>
              <w:rPr>
                <w:sz w:val="17"/>
              </w:rPr>
              <w:t>The restaurant must develop qualified demand, local visibility, accounts, events, offers, or scalable growth.</w:t>
            </w:r>
          </w:p>
        </w:tc>
      </w:tr>
      <w:tr>
        <w:tc>
          <w:tcPr>
            <w:tcW w:type="dxa" w:w="2200"/>
            <w:vAlign w:val="center"/>
          </w:tcPr>
          <w:p>
            <w:pPr>
              <w:spacing w:after="40" w:line="252" w:lineRule="auto"/>
            </w:pPr>
            <w:r>
              <w:rPr>
                <w:sz w:val="17"/>
              </w:rPr>
              <w:t>Manager Development</w:t>
            </w:r>
          </w:p>
        </w:tc>
        <w:tc>
          <w:tcPr>
            <w:tcW w:type="dxa" w:w="3560"/>
            <w:vAlign w:val="center"/>
          </w:tcPr>
          <w:p>
            <w:pPr>
              <w:spacing w:after="40" w:line="252" w:lineRule="auto"/>
            </w:pPr>
            <w:r>
              <w:rPr>
                <w:sz w:val="17"/>
              </w:rPr>
              <w:t>Define authority, develop judgment, coach behavior, and build the bench.</w:t>
            </w:r>
          </w:p>
        </w:tc>
        <w:tc>
          <w:tcPr>
            <w:tcW w:type="dxa" w:w="3600"/>
            <w:vAlign w:val="center"/>
          </w:tcPr>
          <w:p>
            <w:pPr>
              <w:spacing w:after="40" w:line="252" w:lineRule="auto"/>
            </w:pPr>
            <w:r>
              <w:rPr>
                <w:sz w:val="17"/>
              </w:rPr>
              <w:t>A manager needs role clarity, judgment, communication, coaching, accountability, or development.</w:t>
            </w:r>
          </w:p>
        </w:tc>
      </w:tr>
      <w:tr>
        <w:tc>
          <w:tcPr>
            <w:tcW w:type="dxa" w:w="2200"/>
            <w:vAlign w:val="center"/>
          </w:tcPr>
          <w:p>
            <w:pPr>
              <w:spacing w:after="40" w:line="252" w:lineRule="auto"/>
            </w:pPr>
            <w:r>
              <w:rPr>
                <w:sz w:val="17"/>
              </w:rPr>
              <w:t>Implementation &amp; Verification</w:t>
            </w:r>
          </w:p>
        </w:tc>
        <w:tc>
          <w:tcPr>
            <w:tcW w:type="dxa" w:w="3560"/>
            <w:vAlign w:val="center"/>
          </w:tcPr>
          <w:p>
            <w:pPr>
              <w:spacing w:after="40" w:line="252" w:lineRule="auto"/>
            </w:pPr>
            <w:r>
              <w:rPr>
                <w:sz w:val="17"/>
              </w:rPr>
              <w:t>Install every system, verify adoption, correct gaps, and sustain results.</w:t>
            </w:r>
          </w:p>
        </w:tc>
        <w:tc>
          <w:tcPr>
            <w:tcW w:type="dxa" w:w="3600"/>
            <w:vAlign w:val="center"/>
          </w:tcPr>
          <w:p>
            <w:pPr>
              <w:spacing w:after="40" w:line="252" w:lineRule="auto"/>
            </w:pPr>
            <w:r>
              <w:rPr>
                <w:sz w:val="17"/>
              </w:rPr>
              <w:t>A decision, standard, or system must be installed, trained, verified, corrected, certified, or renewed.</w:t>
            </w:r>
          </w:p>
        </w:tc>
      </w:tr>
    </w:tbl>
    <w:p>
      <w:pPr>
        <w:spacing w:after="0"/>
      </w:pPr>
    </w:p>
    <w:p>
      <w:pPr>
        <w:pStyle w:val="Heading1"/>
      </w:pPr>
      <w:r>
        <w:t>The Required System Handoffs</w:t>
      </w:r>
    </w:p>
    <w:tbl>
      <w:tblPr>
        <w:tblStyle w:val="TableGrid"/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2050"/>
        <w:gridCol w:w="2050"/>
        <w:gridCol w:w="5260"/>
      </w:tblGrid>
      <w:tr>
        <w:tc>
          <w:tcPr>
            <w:tcW w:type="dxa" w:w="2050"/>
            <w:shd w:fill="E8EEF5"/>
            <w:vAlign w:val="center"/>
          </w:tcPr>
          <w:p>
            <w:r>
              <w:rPr>
                <w:b/>
                <w:color w:val="17365D"/>
                <w:sz w:val="18"/>
              </w:rPr>
              <w:t>From</w:t>
            </w:r>
          </w:p>
        </w:tc>
        <w:tc>
          <w:tcPr>
            <w:tcW w:type="dxa" w:w="2050"/>
            <w:shd w:fill="E8EEF5"/>
            <w:vAlign w:val="center"/>
          </w:tcPr>
          <w:p>
            <w:r>
              <w:rPr>
                <w:b/>
                <w:color w:val="17365D"/>
                <w:sz w:val="18"/>
              </w:rPr>
              <w:t>To</w:t>
            </w:r>
          </w:p>
        </w:tc>
        <w:tc>
          <w:tcPr>
            <w:tcW w:type="dxa" w:w="5260"/>
            <w:shd w:fill="E8EEF5"/>
            <w:vAlign w:val="center"/>
          </w:tcPr>
          <w:p>
            <w:r>
              <w:rPr>
                <w:b/>
                <w:color w:val="17365D"/>
                <w:sz w:val="18"/>
              </w:rPr>
              <w:t>Handoff rule</w:t>
            </w:r>
          </w:p>
        </w:tc>
      </w:tr>
      <w:tr>
        <w:tc>
          <w:tcPr>
            <w:tcW w:type="dxa" w:w="2050"/>
            <w:vAlign w:val="center"/>
          </w:tcPr>
          <w:p>
            <w:pPr>
              <w:spacing w:after="40" w:line="252" w:lineRule="auto"/>
            </w:pPr>
            <w:r>
              <w:rPr>
                <w:sz w:val="17"/>
              </w:rPr>
              <w:t>Any owning system</w:t>
            </w:r>
          </w:p>
        </w:tc>
        <w:tc>
          <w:tcPr>
            <w:tcW w:type="dxa" w:w="2050"/>
            <w:vAlign w:val="center"/>
          </w:tcPr>
          <w:p>
            <w:pPr>
              <w:spacing w:after="40" w:line="252" w:lineRule="auto"/>
            </w:pPr>
            <w:r>
              <w:rPr>
                <w:sz w:val="17"/>
              </w:rPr>
              <w:t>Implementation &amp; Verification</w:t>
            </w:r>
          </w:p>
        </w:tc>
        <w:tc>
          <w:tcPr>
            <w:tcW w:type="dxa" w:w="5260"/>
            <w:vAlign w:val="center"/>
          </w:tcPr>
          <w:p>
            <w:pPr>
              <w:spacing w:after="40" w:line="252" w:lineRule="auto"/>
            </w:pPr>
            <w:r>
              <w:rPr>
                <w:sz w:val="17"/>
              </w:rPr>
              <w:t>Send approved changes, goals, controls, or corrective actions for scoped installation, training, adoption testing, and sustainment.</w:t>
            </w:r>
          </w:p>
        </w:tc>
      </w:tr>
      <w:tr>
        <w:tc>
          <w:tcPr>
            <w:tcW w:type="dxa" w:w="2050"/>
            <w:vAlign w:val="center"/>
          </w:tcPr>
          <w:p>
            <w:pPr>
              <w:spacing w:after="40" w:line="252" w:lineRule="auto"/>
            </w:pPr>
            <w:r>
              <w:rPr>
                <w:sz w:val="17"/>
              </w:rPr>
              <w:t>Implementation &amp; Verification</w:t>
            </w:r>
          </w:p>
        </w:tc>
        <w:tc>
          <w:tcPr>
            <w:tcW w:type="dxa" w:w="2050"/>
            <w:vAlign w:val="center"/>
          </w:tcPr>
          <w:p>
            <w:pPr>
              <w:spacing w:after="40" w:line="252" w:lineRule="auto"/>
            </w:pPr>
            <w:r>
              <w:rPr>
                <w:sz w:val="17"/>
              </w:rPr>
              <w:t>Standards &amp; Intelligence</w:t>
            </w:r>
          </w:p>
        </w:tc>
        <w:tc>
          <w:tcPr>
            <w:tcW w:type="dxa" w:w="5260"/>
            <w:vAlign w:val="center"/>
          </w:tcPr>
          <w:p>
            <w:pPr>
              <w:spacing w:after="40" w:line="252" w:lineRule="auto"/>
            </w:pPr>
            <w:r>
              <w:rPr>
                <w:sz w:val="17"/>
              </w:rPr>
              <w:t>Release only the approved version; retain authority, version, evidence, exception, and post-implementation records.</w:t>
            </w:r>
          </w:p>
        </w:tc>
      </w:tr>
      <w:tr>
        <w:tc>
          <w:tcPr>
            <w:tcW w:type="dxa" w:w="2050"/>
            <w:vAlign w:val="center"/>
          </w:tcPr>
          <w:p>
            <w:pPr>
              <w:spacing w:after="40" w:line="252" w:lineRule="auto"/>
            </w:pPr>
            <w:r>
              <w:rPr>
                <w:sz w:val="17"/>
              </w:rPr>
              <w:t>Standards &amp; Intelligence</w:t>
            </w:r>
          </w:p>
        </w:tc>
        <w:tc>
          <w:tcPr>
            <w:tcW w:type="dxa" w:w="2050"/>
            <w:vAlign w:val="center"/>
          </w:tcPr>
          <w:p>
            <w:pPr>
              <w:spacing w:after="40" w:line="252" w:lineRule="auto"/>
            </w:pPr>
            <w:r>
              <w:rPr>
                <w:sz w:val="17"/>
              </w:rPr>
              <w:t>Owning system</w:t>
            </w:r>
          </w:p>
        </w:tc>
        <w:tc>
          <w:tcPr>
            <w:tcW w:type="dxa" w:w="5260"/>
            <w:vAlign w:val="center"/>
          </w:tcPr>
          <w:p>
            <w:pPr>
              <w:spacing w:after="40" w:line="252" w:lineRule="auto"/>
            </w:pPr>
            <w:r>
              <w:rPr>
                <w:sz w:val="17"/>
              </w:rPr>
              <w:t>Return validated changes, source requirements, exceptions, or control failures to the system that owns the subject.</w:t>
            </w:r>
          </w:p>
        </w:tc>
      </w:tr>
      <w:tr>
        <w:tc>
          <w:tcPr>
            <w:tcW w:type="dxa" w:w="2050"/>
            <w:vAlign w:val="center"/>
          </w:tcPr>
          <w:p>
            <w:pPr>
              <w:spacing w:after="40" w:line="252" w:lineRule="auto"/>
            </w:pPr>
            <w:r>
              <w:rPr>
                <w:sz w:val="17"/>
              </w:rPr>
              <w:t>Risk &amp; Continuity</w:t>
            </w:r>
          </w:p>
        </w:tc>
        <w:tc>
          <w:tcPr>
            <w:tcW w:type="dxa" w:w="2050"/>
            <w:vAlign w:val="center"/>
          </w:tcPr>
          <w:p>
            <w:pPr>
              <w:spacing w:after="40" w:line="252" w:lineRule="auto"/>
            </w:pPr>
            <w:r>
              <w:rPr>
                <w:sz w:val="17"/>
              </w:rPr>
              <w:t>Relevant owning system</w:t>
            </w:r>
          </w:p>
        </w:tc>
        <w:tc>
          <w:tcPr>
            <w:tcW w:type="dxa" w:w="5260"/>
            <w:vAlign w:val="center"/>
          </w:tcPr>
          <w:p>
            <w:pPr>
              <w:spacing w:after="40" w:line="252" w:lineRule="auto"/>
            </w:pPr>
            <w:r>
              <w:rPr>
                <w:sz w:val="17"/>
              </w:rPr>
              <w:t>After immediate safety and incident control, route guest, financial, people, technology, or growth effects to the appropriate owner.</w:t>
            </w:r>
          </w:p>
        </w:tc>
      </w:tr>
      <w:tr>
        <w:tc>
          <w:tcPr>
            <w:tcW w:type="dxa" w:w="2050"/>
            <w:vAlign w:val="center"/>
          </w:tcPr>
          <w:p>
            <w:pPr>
              <w:spacing w:after="40" w:line="252" w:lineRule="auto"/>
            </w:pPr>
            <w:r>
              <w:rPr>
                <w:sz w:val="17"/>
              </w:rPr>
              <w:t>Growth &amp; Sales</w:t>
            </w:r>
          </w:p>
        </w:tc>
        <w:tc>
          <w:tcPr>
            <w:tcW w:type="dxa" w:w="2050"/>
            <w:vAlign w:val="center"/>
          </w:tcPr>
          <w:p>
            <w:pPr>
              <w:spacing w:after="40" w:line="252" w:lineRule="auto"/>
            </w:pPr>
            <w:r>
              <w:rPr>
                <w:sz w:val="17"/>
              </w:rPr>
              <w:t>Performance &amp; Profitability</w:t>
            </w:r>
          </w:p>
        </w:tc>
        <w:tc>
          <w:tcPr>
            <w:tcW w:type="dxa" w:w="5260"/>
            <w:vAlign w:val="center"/>
          </w:tcPr>
          <w:p>
            <w:pPr>
              <w:spacing w:after="40" w:line="252" w:lineRule="auto"/>
            </w:pPr>
            <w:r>
              <w:rPr>
                <w:sz w:val="17"/>
              </w:rPr>
              <w:t>Confirm capacity, contribution, discount, channel, and event economics before approving a promise or campaign.</w:t>
            </w:r>
          </w:p>
        </w:tc>
      </w:tr>
      <w:tr>
        <w:tc>
          <w:tcPr>
            <w:tcW w:type="dxa" w:w="2050"/>
            <w:vAlign w:val="center"/>
          </w:tcPr>
          <w:p>
            <w:pPr>
              <w:spacing w:after="40" w:line="252" w:lineRule="auto"/>
            </w:pPr>
            <w:r>
              <w:rPr>
                <w:sz w:val="17"/>
              </w:rPr>
              <w:t>Guest Relationship</w:t>
            </w:r>
          </w:p>
        </w:tc>
        <w:tc>
          <w:tcPr>
            <w:tcW w:type="dxa" w:w="2050"/>
            <w:vAlign w:val="center"/>
          </w:tcPr>
          <w:p>
            <w:pPr>
              <w:spacing w:after="40" w:line="252" w:lineRule="auto"/>
            </w:pPr>
            <w:r>
              <w:rPr>
                <w:sz w:val="17"/>
              </w:rPr>
              <w:t>Growth &amp; Sales</w:t>
            </w:r>
          </w:p>
        </w:tc>
        <w:tc>
          <w:tcPr>
            <w:tcW w:type="dxa" w:w="5260"/>
            <w:vAlign w:val="center"/>
          </w:tcPr>
          <w:p>
            <w:pPr>
              <w:spacing w:after="40" w:line="252" w:lineRule="auto"/>
            </w:pPr>
            <w:r>
              <w:rPr>
                <w:sz w:val="17"/>
              </w:rPr>
              <w:t>Use only permissioned, appropriate relationship information; honor suppression and privacy choices.</w:t>
            </w:r>
          </w:p>
        </w:tc>
      </w:tr>
      <w:tr>
        <w:tc>
          <w:tcPr>
            <w:tcW w:type="dxa" w:w="2050"/>
            <w:vAlign w:val="center"/>
          </w:tcPr>
          <w:p>
            <w:pPr>
              <w:spacing w:after="40" w:line="252" w:lineRule="auto"/>
            </w:pPr>
            <w:r>
              <w:rPr>
                <w:sz w:val="17"/>
              </w:rPr>
              <w:t>Manager Development</w:t>
            </w:r>
          </w:p>
        </w:tc>
        <w:tc>
          <w:tcPr>
            <w:tcW w:type="dxa" w:w="2050"/>
            <w:vAlign w:val="center"/>
          </w:tcPr>
          <w:p>
            <w:pPr>
              <w:spacing w:after="40" w:line="252" w:lineRule="auto"/>
            </w:pPr>
            <w:r>
              <w:rPr>
                <w:sz w:val="17"/>
              </w:rPr>
              <w:t>Implementation &amp; Verification</w:t>
            </w:r>
          </w:p>
        </w:tc>
        <w:tc>
          <w:tcPr>
            <w:tcW w:type="dxa" w:w="5260"/>
            <w:vAlign w:val="center"/>
          </w:tcPr>
          <w:p>
            <w:pPr>
              <w:spacing w:after="40" w:line="252" w:lineRule="auto"/>
            </w:pPr>
            <w:r>
              <w:rPr>
                <w:sz w:val="17"/>
              </w:rPr>
              <w:t>Translate role or behavior gaps into defined learning, practice, competency evidence, support, and verification.</w:t>
            </w:r>
          </w:p>
        </w:tc>
      </w:tr>
    </w:tbl>
    <w:p>
      <w:pPr>
        <w:spacing w:after="0"/>
      </w:pPr>
    </w:p>
    <w:p>
      <w:pPr>
        <w:pStyle w:val="Heading1"/>
      </w:pPr>
      <w:r>
        <w:t>Seven End-to-End Operating Examples</w:t>
      </w:r>
    </w:p>
    <w:p>
      <w:pPr>
        <w:pStyle w:val="Heading2"/>
      </w:pPr>
      <w:r>
        <w:t>Serious guest complaint</w:t>
      </w:r>
    </w:p>
    <w:p>
      <w:r>
        <w:rPr>
          <w:b/>
        </w:rPr>
        <w:t xml:space="preserve">Tool path: </w:t>
      </w:r>
      <w:r>
        <w:t>GRV-R07 → GRV-R08/09 → GRV-R10 → GRV-R11 → GRV-R12 → GRV-R30</w:t>
      </w:r>
    </w:p>
    <w:p>
      <w:r>
        <w:rPr>
          <w:b/>
        </w:rPr>
        <w:t xml:space="preserve">Operating result: </w:t>
      </w:r>
      <w:r>
        <w:t>Record facts; authorize recovery; complete action; follow through; detect repetition; correct the underlying control.</w:t>
      </w:r>
    </w:p>
    <w:p>
      <w:r>
        <w:rPr>
          <w:b/>
        </w:rPr>
        <w:t xml:space="preserve">Handoff/control: </w:t>
      </w:r>
      <w:r>
        <w:t>Use GRV-IV if the correction changes a standard, process, training requirement, or verification method.</w:t>
      </w:r>
    </w:p>
    <w:p>
      <w:pPr>
        <w:pStyle w:val="Heading2"/>
      </w:pPr>
      <w:r>
        <w:t>Profit decline</w:t>
      </w:r>
    </w:p>
    <w:p>
      <w:r>
        <w:rPr>
          <w:b/>
        </w:rPr>
        <w:t xml:space="preserve">Tool path: </w:t>
      </w:r>
      <w:r>
        <w:t>GRV-P01/02 → GRV-P03/04 → relevant diagnostic tool → GRV-P28/29 → GRV-P30</w:t>
      </w:r>
    </w:p>
    <w:p>
      <w:r>
        <w:rPr>
          <w:b/>
        </w:rPr>
        <w:t xml:space="preserve">Operating result: </w:t>
      </w:r>
      <w:r>
        <w:t>Validate sources; isolate the material exception; assign a controlled improvement; verify the financial result.</w:t>
      </w:r>
    </w:p>
    <w:p>
      <w:r>
        <w:rPr>
          <w:b/>
        </w:rPr>
        <w:t xml:space="preserve">Handoff/control: </w:t>
      </w:r>
      <w:r>
        <w:t>Use GRV-G only when the evidence supports a demand problem; do not assume every profit problem is a sales problem.</w:t>
      </w:r>
    </w:p>
    <w:p>
      <w:pPr>
        <w:pStyle w:val="Heading2"/>
      </w:pPr>
      <w:r>
        <w:t>New or changed standard</w:t>
      </w:r>
    </w:p>
    <w:p>
      <w:r>
        <w:rPr>
          <w:b/>
        </w:rPr>
        <w:t xml:space="preserve">Tool path: </w:t>
      </w:r>
      <w:r>
        <w:t>GRV-I06–15 → GRV-I16/17 → GRV-I27/28 → GRV-IV09–29 → GRV-I29</w:t>
      </w:r>
    </w:p>
    <w:p>
      <w:r>
        <w:rPr>
          <w:b/>
        </w:rPr>
        <w:t xml:space="preserve">Operating result: </w:t>
      </w:r>
      <w:r>
        <w:t>Validate authority; define the requirement; assess impact; implement the controlled change; independently verify it.</w:t>
      </w:r>
    </w:p>
    <w:p>
      <w:r>
        <w:rPr>
          <w:b/>
        </w:rPr>
        <w:t xml:space="preserve">Handoff/control: </w:t>
      </w:r>
      <w:r>
        <w:t>The owning system retains subject authority; GRV-IV controls installation; GRV-I controls version and evidence.</w:t>
      </w:r>
    </w:p>
    <w:p>
      <w:pPr>
        <w:pStyle w:val="Heading2"/>
      </w:pPr>
      <w:r>
        <w:t>Emergency disruption</w:t>
      </w:r>
    </w:p>
    <w:p>
      <w:r>
        <w:rPr>
          <w:b/>
        </w:rPr>
        <w:t xml:space="preserve">Tool path: </w:t>
      </w:r>
      <w:r>
        <w:t>GRV-RC04 → applicable GRV-RC11–15 → GRV-RC21/22 → GRV-RC16–20/23–25 → GRV-RC28/29</w:t>
      </w:r>
    </w:p>
    <w:p>
      <w:r>
        <w:rPr>
          <w:b/>
        </w:rPr>
        <w:t xml:space="preserve">Operating result: </w:t>
      </w:r>
      <w:r>
        <w:t>Activate at the approved threshold; protect life and safety; record decisions and loss; continue or recover; reopen through a readiness gate.</w:t>
      </w:r>
    </w:p>
    <w:p>
      <w:r>
        <w:rPr>
          <w:b/>
        </w:rPr>
        <w:t xml:space="preserve">Handoff/control: </w:t>
      </w:r>
      <w:r>
        <w:t>Call emergency services and qualified authorities when required. Gravity records do not replace official emergency direction.</w:t>
      </w:r>
    </w:p>
    <w:p>
      <w:pPr>
        <w:pStyle w:val="Heading2"/>
      </w:pPr>
      <w:r>
        <w:t>Growth campaign</w:t>
      </w:r>
    </w:p>
    <w:p>
      <w:r>
        <w:rPr>
          <w:b/>
        </w:rPr>
        <w:t xml:space="preserve">Tool path: </w:t>
      </w:r>
      <w:r>
        <w:t>GRV-G01–05 → GRV-G16/17 → GRV-P19 → GRV-G18/19 → GRV-G20/26/27</w:t>
      </w:r>
    </w:p>
    <w:p>
      <w:r>
        <w:rPr>
          <w:b/>
        </w:rPr>
        <w:t xml:space="preserve">Operating result: </w:t>
      </w:r>
      <w:r>
        <w:t>Choose a supported opportunity; establish guardrails; verify economics and capacity; launch through a controlled path; evaluate margin and learning.</w:t>
      </w:r>
    </w:p>
    <w:p>
      <w:r>
        <w:rPr>
          <w:b/>
        </w:rPr>
        <w:t xml:space="preserve">Handoff/control: </w:t>
      </w:r>
      <w:r>
        <w:t>Use GRV-R19–22 when guest communications or consent-controlled lists are involved.</w:t>
      </w:r>
    </w:p>
    <w:p>
      <w:pPr>
        <w:pStyle w:val="Heading2"/>
      </w:pPr>
      <w:r>
        <w:t>Underperforming manager</w:t>
      </w:r>
    </w:p>
    <w:p>
      <w:r>
        <w:rPr>
          <w:b/>
        </w:rPr>
        <w:t xml:space="preserve">Tool path: </w:t>
      </w:r>
      <w:r>
        <w:t>GRV-M01/02 → GRV-M16 → GRV-M17/19 → GRV-M18/26/27</w:t>
      </w:r>
    </w:p>
    <w:p>
      <w:r>
        <w:rPr>
          <w:b/>
        </w:rPr>
        <w:t xml:space="preserve">Operating result: </w:t>
      </w:r>
      <w:r>
        <w:t>Confirm role expectations; use observable evidence; coach or support through an approved plan; review follow-through and capability.</w:t>
      </w:r>
    </w:p>
    <w:p>
      <w:r>
        <w:rPr>
          <w:b/>
        </w:rPr>
        <w:t xml:space="preserve">Handoff/control: </w:t>
      </w:r>
      <w:r>
        <w:t>Use qualified HR or legal review for discipline, protected matters, accommodations, investigations, or employment decisions.</w:t>
      </w:r>
    </w:p>
    <w:p>
      <w:pPr>
        <w:pStyle w:val="Heading2"/>
      </w:pPr>
      <w:r>
        <w:t>Installing any Gravity system</w:t>
      </w:r>
    </w:p>
    <w:p>
      <w:r>
        <w:rPr>
          <w:b/>
        </w:rPr>
        <w:t xml:space="preserve">Tool path: </w:t>
      </w:r>
      <w:r>
        <w:t>GRV-IV01–04 → 05–08 → 09–12 → 13–17 → 18–21 → 22–25 → 26–30</w:t>
      </w:r>
    </w:p>
    <w:p>
      <w:r>
        <w:rPr>
          <w:b/>
        </w:rPr>
        <w:t xml:space="preserve">Operating result: </w:t>
      </w:r>
      <w:r>
        <w:t>Define the goal; face the gap; set the standard; build the process; train roles; operate and verify; certify and sustain.</w:t>
      </w:r>
    </w:p>
    <w:p>
      <w:r>
        <w:rPr>
          <w:b/>
        </w:rPr>
        <w:t xml:space="preserve">Handoff/control: </w:t>
      </w:r>
      <w:r>
        <w:t>This is the governing implementation path for all other Gravity systems.</w:t>
      </w:r>
    </w:p>
    <w:p>
      <w:pPr>
        <w:pStyle w:val="Heading1"/>
      </w:pPr>
      <w:r>
        <w:t>First 30 Days</w:t>
      </w:r>
    </w:p>
    <w:tbl>
      <w:tblPr>
        <w:tblStyle w:val="TableGrid"/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1400"/>
        <w:gridCol w:w="5000"/>
        <w:gridCol w:w="2960"/>
      </w:tblGrid>
      <w:tr>
        <w:tc>
          <w:tcPr>
            <w:tcW w:type="dxa" w:w="1400"/>
            <w:shd w:fill="E8EEF5"/>
            <w:vAlign w:val="center"/>
          </w:tcPr>
          <w:p>
            <w:r>
              <w:rPr>
                <w:b/>
                <w:color w:val="17365D"/>
                <w:sz w:val="18"/>
              </w:rPr>
              <w:t>Timing</w:t>
            </w:r>
          </w:p>
        </w:tc>
        <w:tc>
          <w:tcPr>
            <w:tcW w:type="dxa" w:w="5000"/>
            <w:shd w:fill="E8EEF5"/>
            <w:vAlign w:val="center"/>
          </w:tcPr>
          <w:p>
            <w:r>
              <w:rPr>
                <w:b/>
                <w:color w:val="17365D"/>
                <w:sz w:val="18"/>
              </w:rPr>
              <w:t>Required action</w:t>
            </w:r>
          </w:p>
        </w:tc>
        <w:tc>
          <w:tcPr>
            <w:tcW w:type="dxa" w:w="2960"/>
            <w:shd w:fill="E8EEF5"/>
            <w:vAlign w:val="center"/>
          </w:tcPr>
          <w:p>
            <w:r>
              <w:rPr>
                <w:b/>
                <w:color w:val="17365D"/>
                <w:sz w:val="18"/>
              </w:rPr>
              <w:t>Evidence of completion</w:t>
            </w:r>
          </w:p>
        </w:tc>
      </w:tr>
      <w:tr>
        <w:tc>
          <w:tcPr>
            <w:tcW w:type="dxa" w:w="1400"/>
            <w:vAlign w:val="center"/>
          </w:tcPr>
          <w:p>
            <w:pPr>
              <w:spacing w:after="40" w:line="252" w:lineRule="auto"/>
            </w:pPr>
            <w:r>
              <w:rPr>
                <w:sz w:val="17"/>
              </w:rPr>
              <w:t>Days 1–3</w:t>
            </w:r>
          </w:p>
        </w:tc>
        <w:tc>
          <w:tcPr>
            <w:tcW w:type="dxa" w:w="5000"/>
            <w:vAlign w:val="center"/>
          </w:tcPr>
          <w:p>
            <w:pPr>
              <w:spacing w:after="40" w:line="252" w:lineRule="auto"/>
            </w:pPr>
            <w:r>
              <w:rPr>
                <w:sz w:val="17"/>
              </w:rPr>
              <w:t>Name the executive sponsor, system owners, implementation lead, verification lead, and records location.</w:t>
            </w:r>
          </w:p>
        </w:tc>
        <w:tc>
          <w:tcPr>
            <w:tcW w:type="dxa" w:w="2960"/>
            <w:vAlign w:val="center"/>
          </w:tcPr>
          <w:p>
            <w:pPr>
              <w:spacing w:after="40" w:line="252" w:lineRule="auto"/>
            </w:pPr>
            <w:r>
              <w:rPr>
                <w:sz w:val="17"/>
              </w:rPr>
              <w:t>GRV-IV01–03 and GRV-I01</w:t>
            </w:r>
          </w:p>
        </w:tc>
      </w:tr>
      <w:tr>
        <w:tc>
          <w:tcPr>
            <w:tcW w:type="dxa" w:w="1400"/>
            <w:vAlign w:val="center"/>
          </w:tcPr>
          <w:p>
            <w:pPr>
              <w:spacing w:after="40" w:line="252" w:lineRule="auto"/>
            </w:pPr>
            <w:r>
              <w:rPr>
                <w:sz w:val="17"/>
              </w:rPr>
              <w:t>Days 4–7</w:t>
            </w:r>
          </w:p>
        </w:tc>
        <w:tc>
          <w:tcPr>
            <w:tcW w:type="dxa" w:w="5000"/>
            <w:vAlign w:val="center"/>
          </w:tcPr>
          <w:p>
            <w:pPr>
              <w:spacing w:after="40" w:line="252" w:lineRule="auto"/>
            </w:pPr>
            <w:r>
              <w:rPr>
                <w:sz w:val="17"/>
              </w:rPr>
              <w:t>Choose one material business problem. Establish baseline evidence, gap, risk, priority, and success measures.</w:t>
            </w:r>
          </w:p>
        </w:tc>
        <w:tc>
          <w:tcPr>
            <w:tcW w:type="dxa" w:w="2960"/>
            <w:vAlign w:val="center"/>
          </w:tcPr>
          <w:p>
            <w:pPr>
              <w:spacing w:after="40" w:line="252" w:lineRule="auto"/>
            </w:pPr>
            <w:r>
              <w:rPr>
                <w:sz w:val="17"/>
              </w:rPr>
              <w:t>GRV-IV04–08 plus the owning system's baseline tools</w:t>
            </w:r>
          </w:p>
        </w:tc>
      </w:tr>
      <w:tr>
        <w:tc>
          <w:tcPr>
            <w:tcW w:type="dxa" w:w="1400"/>
            <w:vAlign w:val="center"/>
          </w:tcPr>
          <w:p>
            <w:pPr>
              <w:spacing w:after="40" w:line="252" w:lineRule="auto"/>
            </w:pPr>
            <w:r>
              <w:rPr>
                <w:sz w:val="17"/>
              </w:rPr>
              <w:t>Days 8–14</w:t>
            </w:r>
          </w:p>
        </w:tc>
        <w:tc>
          <w:tcPr>
            <w:tcW w:type="dxa" w:w="5000"/>
            <w:vAlign w:val="center"/>
          </w:tcPr>
          <w:p>
            <w:pPr>
              <w:spacing w:after="40" w:line="252" w:lineRule="auto"/>
            </w:pPr>
            <w:r>
              <w:rPr>
                <w:sz w:val="17"/>
              </w:rPr>
              <w:t>Define the standard, approval, evidence, process, roles, resources, and configured tools.</w:t>
            </w:r>
          </w:p>
        </w:tc>
        <w:tc>
          <w:tcPr>
            <w:tcW w:type="dxa" w:w="2960"/>
            <w:vAlign w:val="center"/>
          </w:tcPr>
          <w:p>
            <w:pPr>
              <w:spacing w:after="40" w:line="252" w:lineRule="auto"/>
            </w:pPr>
            <w:r>
              <w:rPr>
                <w:sz w:val="17"/>
              </w:rPr>
              <w:t>GRV-IV09–16</w:t>
            </w:r>
          </w:p>
        </w:tc>
      </w:tr>
      <w:tr>
        <w:tc>
          <w:tcPr>
            <w:tcW w:type="dxa" w:w="1400"/>
            <w:vAlign w:val="center"/>
          </w:tcPr>
          <w:p>
            <w:pPr>
              <w:spacing w:after="40" w:line="252" w:lineRule="auto"/>
            </w:pPr>
            <w:r>
              <w:rPr>
                <w:sz w:val="17"/>
              </w:rPr>
              <w:t>Days 15–21</w:t>
            </w:r>
          </w:p>
        </w:tc>
        <w:tc>
          <w:tcPr>
            <w:tcW w:type="dxa" w:w="5000"/>
            <w:vAlign w:val="center"/>
          </w:tcPr>
          <w:p>
            <w:pPr>
              <w:spacing w:after="40" w:line="252" w:lineRule="auto"/>
            </w:pPr>
            <w:r>
              <w:rPr>
                <w:sz w:val="17"/>
              </w:rPr>
              <w:t>Run a bounded pilot; train roles; verify competency; provide support; correct immediate defects.</w:t>
            </w:r>
          </w:p>
        </w:tc>
        <w:tc>
          <w:tcPr>
            <w:tcW w:type="dxa" w:w="2960"/>
            <w:vAlign w:val="center"/>
          </w:tcPr>
          <w:p>
            <w:pPr>
              <w:spacing w:after="40" w:line="252" w:lineRule="auto"/>
            </w:pPr>
            <w:r>
              <w:rPr>
                <w:sz w:val="17"/>
              </w:rPr>
              <w:t>GRV-IV17–21 and GRV-IV25</w:t>
            </w:r>
          </w:p>
        </w:tc>
      </w:tr>
      <w:tr>
        <w:tc>
          <w:tcPr>
            <w:tcW w:type="dxa" w:w="1400"/>
            <w:vAlign w:val="center"/>
          </w:tcPr>
          <w:p>
            <w:pPr>
              <w:spacing w:after="40" w:line="252" w:lineRule="auto"/>
            </w:pPr>
            <w:r>
              <w:rPr>
                <w:sz w:val="17"/>
              </w:rPr>
              <w:t>Days 22–30</w:t>
            </w:r>
          </w:p>
        </w:tc>
        <w:tc>
          <w:tcPr>
            <w:tcW w:type="dxa" w:w="5000"/>
            <w:vAlign w:val="center"/>
          </w:tcPr>
          <w:p>
            <w:pPr>
              <w:spacing w:after="40" w:line="252" w:lineRule="auto"/>
            </w:pPr>
            <w:r>
              <w:rPr>
                <w:sz w:val="17"/>
              </w:rPr>
              <w:t>Launch in a controlled wave; sample adoption; verify outcomes; certify only when evidence supports it.</w:t>
            </w:r>
          </w:p>
        </w:tc>
        <w:tc>
          <w:tcPr>
            <w:tcW w:type="dxa" w:w="2960"/>
            <w:vAlign w:val="center"/>
          </w:tcPr>
          <w:p>
            <w:pPr>
              <w:spacing w:after="40" w:line="252" w:lineRule="auto"/>
            </w:pPr>
            <w:r>
              <w:rPr>
                <w:sz w:val="17"/>
              </w:rPr>
              <w:t>GRV-IV22–29</w:t>
            </w:r>
          </w:p>
        </w:tc>
      </w:tr>
    </w:tbl>
    <w:p>
      <w:pPr>
        <w:spacing w:after="0"/>
      </w:pPr>
    </w:p>
    <w:p>
      <w:pPr>
        <w:pStyle w:val="Heading1"/>
      </w:pPr>
      <w:r>
        <w:t>Minimum Completion Standard</w:t>
      </w:r>
    </w:p>
    <w:p>
      <w:pPr>
        <w:pStyle w:val="ListBullet"/>
        <w:spacing w:after="80" w:line="300" w:lineRule="auto"/>
        <w:ind w:left="540" w:hanging="271"/>
      </w:pPr>
      <w:r>
        <w:t>A named accountable owner—not merely a department.</w:t>
      </w:r>
    </w:p>
    <w:p>
      <w:pPr>
        <w:pStyle w:val="ListBullet"/>
        <w:spacing w:after="80" w:line="300" w:lineRule="auto"/>
        <w:ind w:left="540" w:hanging="271"/>
      </w:pPr>
      <w:r>
        <w:t>A defined trigger or frequency and a due date when action is required.</w:t>
      </w:r>
    </w:p>
    <w:p>
      <w:pPr>
        <w:pStyle w:val="ListBullet"/>
        <w:spacing w:after="80" w:line="300" w:lineRule="auto"/>
        <w:ind w:left="540" w:hanging="271"/>
      </w:pPr>
      <w:r>
        <w:t>A fact-based record using the approved tool version.</w:t>
      </w:r>
    </w:p>
    <w:p>
      <w:pPr>
        <w:pStyle w:val="ListBullet"/>
        <w:spacing w:after="80" w:line="300" w:lineRule="auto"/>
        <w:ind w:left="540" w:hanging="271"/>
      </w:pPr>
      <w:r>
        <w:t>A documented decision, action, exception, or escalation.</w:t>
      </w:r>
    </w:p>
    <w:p>
      <w:pPr>
        <w:pStyle w:val="ListBullet"/>
        <w:spacing w:after="80" w:line="300" w:lineRule="auto"/>
        <w:ind w:left="540" w:hanging="271"/>
      </w:pPr>
      <w:r>
        <w:t>Evidence that the action occurred and produced the intended result.</w:t>
      </w:r>
    </w:p>
    <w:p>
      <w:pPr>
        <w:pStyle w:val="ListBullet"/>
        <w:spacing w:after="80" w:line="300" w:lineRule="auto"/>
        <w:ind w:left="540" w:hanging="271"/>
      </w:pPr>
      <w:r>
        <w:t>A review date, closeout decision, and retained record location.</w:t>
      </w:r>
    </w:p>
    <w:p>
      <w:pPr>
        <w:pStyle w:val="ListBullet"/>
        <w:spacing w:after="80" w:line="300" w:lineRule="auto"/>
        <w:ind w:left="540" w:hanging="271"/>
      </w:pPr>
      <w:r>
        <w:t>Implementation verification when the action changes how people work.</w:t>
      </w:r>
    </w:p>
    <w:p>
      <w:pPr>
        <w:pStyle w:val="Heading1"/>
      </w:pPr>
      <w:r>
        <w:t>When to Stop and Obtain Qualified Help</w:t>
      </w:r>
    </w:p>
    <w:p>
      <w:pPr>
        <w:pStyle w:val="ListBullet"/>
        <w:spacing w:after="80" w:line="300" w:lineRule="auto"/>
        <w:ind w:left="540" w:hanging="271"/>
      </w:pPr>
      <w:r>
        <w:t>Immediate danger, medical emergency, fire, violence, evacuation, severe weather, suspected contamination, or another life-safety event.</w:t>
      </w:r>
    </w:p>
    <w:p>
      <w:pPr>
        <w:pStyle w:val="ListBullet"/>
        <w:spacing w:after="80" w:line="300" w:lineRule="auto"/>
        <w:ind w:left="540" w:hanging="271"/>
      </w:pPr>
      <w:r>
        <w:t>Employment action, discrimination, harassment, accommodation, protected leave, investigation, termination, wage-and-hour, or labor-relations matter.</w:t>
      </w:r>
    </w:p>
    <w:p>
      <w:pPr>
        <w:pStyle w:val="ListBullet"/>
        <w:spacing w:after="80" w:line="300" w:lineRule="auto"/>
        <w:ind w:left="540" w:hanging="271"/>
      </w:pPr>
      <w:r>
        <w:t>Legal, regulatory, insurance, tax, accounting, cybersecurity, privacy, accessibility, or contractual interpretation.</w:t>
      </w:r>
    </w:p>
    <w:p>
      <w:pPr>
        <w:pStyle w:val="ListBullet"/>
        <w:spacing w:after="80" w:line="300" w:lineRule="auto"/>
        <w:ind w:left="540" w:hanging="271"/>
      </w:pPr>
      <w:r>
        <w:t>Any decision outside the user's authority or the restaurant's approved risk appetite.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sz w:val="16"/>
      </w:rPr>
      <w:t xml:space="preserve">Page </w:t>
    </w:r>
    <w:fldSimple w:instr="PAGE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b/>
        <w:color w:val="5B6573"/>
        <w:sz w:val="16"/>
      </w:rPr>
      <w:t>GRAVITY MASTER QUICK START &amp; INTEGRATION GUIDE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300" w:lineRule="auto"/>
    </w:pPr>
    <w:rPr>
      <w:rFonts w:ascii="Calibri" w:hAnsi="Calibri"/>
      <w:color w:val="1F2933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Calibri" w:hAnsi="Calibri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Calibri" w:hAnsi="Calibri"/>
      <w:b/>
      <w:bCs/>
      <w:color w:val="17365D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160" w:line="240" w:lineRule="auto" w:before="0"/>
      <w:contextualSpacing/>
    </w:pPr>
    <w:rPr>
      <w:rFonts w:asciiTheme="majorHAnsi" w:eastAsiaTheme="majorEastAsia" w:hAnsiTheme="majorHAnsi" w:cstheme="majorBidi" w:ascii="Calibri" w:hAnsi="Calibri"/>
      <w:b/>
      <w:color w:val="17365D"/>
      <w:spacing w:val="5"/>
      <w:kern w:val="28"/>
      <w:sz w:val="5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/>
      <w:numPr>
        <w:ilvl w:val="1"/>
      </w:numPr>
      <w:spacing w:before="0" w:after="240"/>
    </w:pPr>
    <w:rPr>
      <w:rFonts w:asciiTheme="majorHAnsi" w:eastAsiaTheme="majorEastAsia" w:hAnsiTheme="majorHAnsi" w:cstheme="majorBidi" w:ascii="Calibri" w:hAnsi="Calibri"/>
      <w:b w:val="0"/>
      <w:i/>
      <w:iCs/>
      <w:color w:val="5B6573"/>
      <w:spacing w:val="15"/>
      <w:sz w:val="28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