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00"/>
        <w:jc w:val="center"/>
      </w:pPr>
      <w:r>
        <w:rPr>
          <w:rFonts w:ascii="Arial" w:hAnsi="Arial"/>
          <w:b/>
          <w:i w:val="0"/>
          <w:color w:val="1F1F1F"/>
          <w:sz w:val="56"/>
        </w:rPr>
        <w:t>Hiring, Interviewing &amp; Employee Retention Tracker</w:t>
      </w:r>
    </w:p>
    <w:p>
      <w:pPr>
        <w:spacing w:before="240"/>
        <w:jc w:val="center"/>
      </w:pPr>
      <w:r>
        <w:rPr>
          <w:rFonts w:ascii="Arial" w:hAnsi="Arial"/>
          <w:b w:val="0"/>
          <w:i w:val="0"/>
          <w:color w:val="333333"/>
          <w:sz w:val="26"/>
        </w:rPr>
        <w:t>A Practical Restaurant Manager’s Workbook for Hiring People Who Care and Keeping the Right Employees</w:t>
      </w:r>
    </w:p>
    <w:p>
      <w:pPr>
        <w:spacing w:before="840"/>
        <w:jc w:val="center"/>
      </w:pPr>
      <w:r>
        <w:rPr>
          <w:rFonts w:ascii="Arial" w:hAnsi="Arial"/>
          <w:b/>
          <w:i w:val="0"/>
          <w:color w:val="5A5A5A"/>
          <w:sz w:val="21"/>
        </w:rPr>
        <w:t>COMPLETE PRACTICAL WORKBOOK</w:t>
      </w:r>
    </w:p>
    <w:p>
      <w:pPr>
        <w:spacing w:before="2700"/>
        <w:jc w:val="center"/>
      </w:pPr>
      <w:r>
        <w:rPr>
          <w:rFonts w:ascii="Arial" w:hAnsi="Arial"/>
          <w:b/>
          <w:i w:val="0"/>
          <w:color w:val="1F1F1F"/>
          <w:sz w:val="24"/>
        </w:rPr>
        <w:t>THOMAS BUTLER</w:t>
      </w:r>
    </w:p>
    <w:p>
      <w:pPr>
        <w:jc w:val="center"/>
      </w:pPr>
      <w:r>
        <w:rPr>
          <w:rFonts w:ascii="Arial" w:hAnsi="Arial"/>
          <w:b w:val="0"/>
          <w:i w:val="0"/>
          <w:color w:val="1F1F1F"/>
          <w:sz w:val="20"/>
        </w:rPr>
        <w:t>Thomas Monroe Books</w:t>
      </w:r>
    </w:p>
    <w:p>
      <w:r>
        <w:br w:type="page"/>
      </w:r>
    </w:p>
    <w:p>
      <w:pPr>
        <w:pStyle w:val="Heading1"/>
      </w:pPr>
      <w:r>
        <w:t>Copyright, Use, and Important Limits</w:t>
      </w:r>
    </w:p>
    <w:p>
      <w:pPr>
        <w:spacing w:after="140" w:line="257" w:lineRule="auto"/>
      </w:pPr>
      <w:r>
        <w:rPr>
          <w:rFonts w:ascii="Arial" w:hAnsi="Arial"/>
          <w:b w:val="0"/>
          <w:i w:val="0"/>
          <w:color w:val="1F1F1F"/>
          <w:sz w:val="20"/>
        </w:rPr>
        <w:t>Copyright © 2026 Thomas Butler. Published by Thomas Monroe Books. First workbook edition, September 2026. All rights reserved except for blank forms reproduced for internal use by the purchasing or authorized restaurant operation.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Important  </w:t>
            </w:r>
            <w:r>
              <w:rPr>
                <w:rFonts w:ascii="Arial" w:hAnsi="Arial"/>
                <w:b w:val="0"/>
                <w:i w:val="0"/>
                <w:color w:val="1F1F1F"/>
                <w:sz w:val="19"/>
              </w:rPr>
              <w:t>This workbook is educational management guidance, not legal, tax, medical, safety, or human-resources advice. Federal guidance is only a baseline. State, local, industry, union, contract, licensing, and company requirements may add or change obligations. Route uncertain or high-risk decisions to authorized HR counsel or qualified legal review.</w:t>
            </w:r>
          </w:p>
        </w:tc>
      </w:tr>
    </w:tbl>
    <w:p>
      <w:pPr>
        <w:spacing w:after="140" w:line="257" w:lineRule="auto"/>
      </w:pPr>
      <w:r>
        <w:rPr>
          <w:rFonts w:ascii="Arial" w:hAnsi="Arial"/>
          <w:b w:val="0"/>
          <w:i w:val="0"/>
          <w:color w:val="1F1F1F"/>
          <w:sz w:val="20"/>
        </w:rPr>
        <w:t>Do not use this workbook as a personality test, diagnostic instrument, automated selection system, or substitute for individual review. Do not ask AI to make final decisions about hiring, discipline, pay, scheduling, accommodation, investigation, or termination. A manager remains responsible for job-related evidence, consistent process, policy, lawful review, and humane treatment.</w:t>
      </w:r>
    </w:p>
    <w:p>
      <w:pPr>
        <w:spacing w:after="140" w:line="257" w:lineRule="auto"/>
      </w:pPr>
      <w:r>
        <w:rPr>
          <w:rFonts w:ascii="Arial" w:hAnsi="Arial"/>
          <w:b w:val="0"/>
          <w:i w:val="0"/>
          <w:color w:val="1F1F1F"/>
          <w:sz w:val="20"/>
        </w:rPr>
        <w:t>Care in this workbook means observable responsibility toward guests, coworkers, cleanliness, safety, honesty, learning, and team impact. It does not mean familiarity, charisma, appearance, similarity to the interviewer, or a vague idea of “culture fit.”</w:t>
      </w:r>
    </w:p>
    <w:p>
      <w:r>
        <w:br w:type="page"/>
      </w:r>
    </w:p>
    <w:p>
      <w:pPr>
        <w:pStyle w:val="Heading1"/>
      </w:pPr>
      <w:r>
        <w:t>How to Use This Workbook</w:t>
      </w:r>
    </w:p>
    <w:p>
      <w:pPr>
        <w:spacing w:after="140" w:line="257" w:lineRule="auto"/>
      </w:pPr>
      <w:r>
        <w:t>This workbook builds manager judgment and guided practice. It does not replace the controlled GRV-HR system. Use the linked GRV-HR form named in each tool section for an official operating record. A manager or owner must make final hiring, discipline, pay, scheduling, accommodation, and termination decisions; AI may support preparation, never make those decisions.</w:t>
      </w:r>
    </w:p>
    <w:p>
      <w:pPr>
        <w:pStyle w:val="ListBullet"/>
        <w:spacing w:after="80"/>
      </w:pPr>
      <w:r>
        <w:rPr>
          <w:rFonts w:ascii="Arial" w:hAnsi="Arial"/>
          <w:b w:val="0"/>
          <w:i w:val="0"/>
          <w:color w:val="1F1F1F"/>
          <w:sz w:val="19"/>
        </w:rPr>
        <w:t>Start with a verified workforce need—not an empty slot alone.</w:t>
      </w:r>
    </w:p>
    <w:p>
      <w:pPr>
        <w:pStyle w:val="ListBullet"/>
        <w:spacing w:after="80"/>
      </w:pPr>
      <w:r>
        <w:rPr>
          <w:rFonts w:ascii="Arial" w:hAnsi="Arial"/>
          <w:b w:val="0"/>
          <w:i w:val="0"/>
          <w:color w:val="1F1F1F"/>
          <w:sz w:val="19"/>
        </w:rPr>
        <w:t>Use the same core questions and job-related criteria for comparable candidates.</w:t>
      </w:r>
    </w:p>
    <w:p>
      <w:pPr>
        <w:pStyle w:val="ListBullet"/>
        <w:spacing w:after="80"/>
      </w:pPr>
      <w:r>
        <w:rPr>
          <w:rFonts w:ascii="Arial" w:hAnsi="Arial"/>
          <w:b w:val="0"/>
          <w:i w:val="0"/>
          <w:color w:val="1F1F1F"/>
          <w:sz w:val="19"/>
        </w:rPr>
        <w:t>Write evidence before discussing preference.</w:t>
      </w:r>
    </w:p>
    <w:p>
      <w:pPr>
        <w:pStyle w:val="ListBullet"/>
        <w:spacing w:after="80"/>
      </w:pPr>
      <w:r>
        <w:rPr>
          <w:rFonts w:ascii="Arial" w:hAnsi="Arial"/>
          <w:b w:val="0"/>
          <w:i w:val="0"/>
          <w:color w:val="1F1F1F"/>
          <w:sz w:val="19"/>
        </w:rPr>
        <w:t>Make the job preview honest enough that a candidate can decline intelligently.</w:t>
      </w:r>
    </w:p>
    <w:p>
      <w:pPr>
        <w:pStyle w:val="ListBullet"/>
        <w:spacing w:after="80"/>
      </w:pPr>
      <w:r>
        <w:rPr>
          <w:rFonts w:ascii="Arial" w:hAnsi="Arial"/>
          <w:b w:val="0"/>
          <w:i w:val="0"/>
          <w:color w:val="1F1F1F"/>
          <w:sz w:val="19"/>
        </w:rPr>
        <w:t>Treat the first 90 days as part of hiring, not as somebody else’s problem.</w:t>
      </w:r>
    </w:p>
    <w:p>
      <w:pPr>
        <w:pStyle w:val="ListBullet"/>
        <w:spacing w:after="80"/>
      </w:pPr>
      <w:r>
        <w:rPr>
          <w:rFonts w:ascii="Arial" w:hAnsi="Arial"/>
          <w:b w:val="0"/>
          <w:i w:val="0"/>
          <w:color w:val="1F1F1F"/>
          <w:sz w:val="19"/>
        </w:rPr>
        <w:t>Escalate accommodation, background, discrimination, retaliation, discipline, and separation questions through authorized channels.</w:t>
      </w:r>
    </w:p>
    <w:p>
      <w:pPr>
        <w:pStyle w:val="Heading2"/>
      </w:pPr>
      <w:r>
        <w:t>The working cycle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3360"/>
        <w:gridCol w:w="3360"/>
        <w:gridCol w:w="3360"/>
      </w:tblGrid>
      <w:tr>
        <w:tc>
          <w:tcPr>
            <w:tcW w:type="dxa" w:w="1440"/>
            <w:shd w:fill="333333"/>
            <w:vAlign w:val="center"/>
          </w:tcPr>
          <w:p>
            <w:r>
              <w:rPr>
                <w:rFonts w:ascii="Arial" w:hAnsi="Arial"/>
                <w:b/>
                <w:i w:val="0"/>
                <w:color w:val="FFFFFF"/>
                <w:sz w:val="17"/>
              </w:rPr>
              <w:t>Stage</w:t>
            </w:r>
          </w:p>
        </w:tc>
        <w:tc>
          <w:tcPr>
            <w:tcW w:type="dxa" w:w="4320"/>
            <w:shd w:fill="333333"/>
            <w:vAlign w:val="center"/>
          </w:tcPr>
          <w:p>
            <w:r>
              <w:rPr>
                <w:rFonts w:ascii="Arial" w:hAnsi="Arial"/>
                <w:b/>
                <w:i w:val="0"/>
                <w:color w:val="FFFFFF"/>
                <w:sz w:val="17"/>
              </w:rPr>
              <w:t>Manager output</w:t>
            </w:r>
          </w:p>
        </w:tc>
        <w:tc>
          <w:tcPr>
            <w:tcW w:type="dxa" w:w="3744"/>
            <w:shd w:fill="333333"/>
            <w:vAlign w:val="center"/>
          </w:tcPr>
          <w:p>
            <w:r>
              <w:rPr>
                <w:rFonts w:ascii="Arial" w:hAnsi="Arial"/>
                <w:b/>
                <w:i w:val="0"/>
                <w:color w:val="FFFFFF"/>
                <w:sz w:val="17"/>
              </w:rPr>
              <w:t>Control</w:t>
            </w:r>
          </w:p>
        </w:tc>
      </w:tr>
      <w:tr>
        <w:trPr>
          <w:cantSplit w:val="true"/>
        </w:trPr>
        <w:tc>
          <w:tcPr>
            <w:tcW w:type="dxa" w:w="1440"/>
            <w:vAlign w:val="center"/>
          </w:tcPr>
          <w:p>
            <w:pPr>
              <w:spacing w:after="0"/>
            </w:pPr>
            <w:r>
              <w:rPr>
                <w:rFonts w:ascii="Arial" w:hAnsi="Arial"/>
                <w:b w:val="0"/>
                <w:i w:val="0"/>
                <w:color w:val="1F1F1F"/>
                <w:sz w:val="17"/>
              </w:rPr>
              <w:t>Need</w:t>
            </w:r>
          </w:p>
        </w:tc>
        <w:tc>
          <w:tcPr>
            <w:tcW w:type="dxa" w:w="4320"/>
            <w:vAlign w:val="center"/>
          </w:tcPr>
          <w:p>
            <w:pPr>
              <w:spacing w:after="0"/>
            </w:pPr>
            <w:r>
              <w:rPr>
                <w:rFonts w:ascii="Arial" w:hAnsi="Arial"/>
                <w:b w:val="0"/>
                <w:i w:val="0"/>
                <w:color w:val="1F1F1F"/>
                <w:sz w:val="17"/>
              </w:rPr>
              <w:t>Verified role, coverage, budget, authority</w:t>
            </w:r>
          </w:p>
        </w:tc>
        <w:tc>
          <w:tcPr>
            <w:tcW w:type="dxa" w:w="3744"/>
            <w:vAlign w:val="center"/>
          </w:tcPr>
          <w:p>
            <w:pPr>
              <w:spacing w:after="0"/>
            </w:pPr>
            <w:r>
              <w:rPr>
                <w:rFonts w:ascii="Arial" w:hAnsi="Arial"/>
                <w:b w:val="0"/>
                <w:i w:val="0"/>
                <w:color w:val="1F1F1F"/>
                <w:sz w:val="17"/>
              </w:rPr>
              <w:t>GRV-HR01 / GRV-C</w:t>
            </w:r>
          </w:p>
        </w:tc>
      </w:tr>
      <w:tr>
        <w:trPr>
          <w:cantSplit w:val="true"/>
        </w:trPr>
        <w:tc>
          <w:tcPr>
            <w:tcW w:type="dxa" w:w="1440"/>
            <w:vAlign w:val="center"/>
            <w:shd w:fill="F6F6F6"/>
          </w:tcPr>
          <w:p>
            <w:pPr>
              <w:spacing w:after="0"/>
            </w:pPr>
            <w:r>
              <w:rPr>
                <w:rFonts w:ascii="Arial" w:hAnsi="Arial"/>
                <w:b w:val="0"/>
                <w:i w:val="0"/>
                <w:color w:val="1F1F1F"/>
                <w:sz w:val="17"/>
              </w:rPr>
              <w:t>Standard</w:t>
            </w:r>
          </w:p>
        </w:tc>
        <w:tc>
          <w:tcPr>
            <w:tcW w:type="dxa" w:w="4320"/>
            <w:vAlign w:val="center"/>
            <w:shd w:fill="F6F6F6"/>
          </w:tcPr>
          <w:p>
            <w:pPr>
              <w:spacing w:after="0"/>
            </w:pPr>
            <w:r>
              <w:rPr>
                <w:rFonts w:ascii="Arial" w:hAnsi="Arial"/>
                <w:b w:val="0"/>
                <w:i w:val="0"/>
                <w:color w:val="1F1F1F"/>
                <w:sz w:val="17"/>
              </w:rPr>
              <w:t>Position success profile and criteria</w:t>
            </w:r>
          </w:p>
        </w:tc>
        <w:tc>
          <w:tcPr>
            <w:tcW w:type="dxa" w:w="3744"/>
            <w:vAlign w:val="center"/>
            <w:shd w:fill="F6F6F6"/>
          </w:tcPr>
          <w:p>
            <w:pPr>
              <w:spacing w:after="0"/>
            </w:pPr>
            <w:r>
              <w:rPr>
                <w:rFonts w:ascii="Arial" w:hAnsi="Arial"/>
                <w:b w:val="0"/>
                <w:i w:val="0"/>
                <w:color w:val="1F1F1F"/>
                <w:sz w:val="17"/>
              </w:rPr>
              <w:t>GRV-HR02</w:t>
            </w:r>
          </w:p>
        </w:tc>
      </w:tr>
      <w:tr>
        <w:trPr>
          <w:cantSplit w:val="true"/>
        </w:trPr>
        <w:tc>
          <w:tcPr>
            <w:tcW w:type="dxa" w:w="1440"/>
            <w:vAlign w:val="center"/>
          </w:tcPr>
          <w:p>
            <w:pPr>
              <w:spacing w:after="0"/>
            </w:pPr>
            <w:r>
              <w:rPr>
                <w:rFonts w:ascii="Arial" w:hAnsi="Arial"/>
                <w:b w:val="0"/>
                <w:i w:val="0"/>
                <w:color w:val="1F1F1F"/>
                <w:sz w:val="17"/>
              </w:rPr>
              <w:t>Evidence</w:t>
            </w:r>
          </w:p>
        </w:tc>
        <w:tc>
          <w:tcPr>
            <w:tcW w:type="dxa" w:w="4320"/>
            <w:vAlign w:val="center"/>
          </w:tcPr>
          <w:p>
            <w:pPr>
              <w:spacing w:after="0"/>
            </w:pPr>
            <w:r>
              <w:rPr>
                <w:rFonts w:ascii="Arial" w:hAnsi="Arial"/>
                <w:b w:val="0"/>
                <w:i w:val="0"/>
                <w:color w:val="1F1F1F"/>
                <w:sz w:val="17"/>
              </w:rPr>
              <w:t>Comparable interview notes and score</w:t>
            </w:r>
          </w:p>
        </w:tc>
        <w:tc>
          <w:tcPr>
            <w:tcW w:type="dxa" w:w="3744"/>
            <w:vAlign w:val="center"/>
          </w:tcPr>
          <w:p>
            <w:pPr>
              <w:spacing w:after="0"/>
            </w:pPr>
            <w:r>
              <w:rPr>
                <w:rFonts w:ascii="Arial" w:hAnsi="Arial"/>
                <w:b w:val="0"/>
                <w:i w:val="0"/>
                <w:color w:val="1F1F1F"/>
                <w:sz w:val="17"/>
              </w:rPr>
              <w:t>GRV-HR06 and approved scorecard</w:t>
            </w:r>
          </w:p>
        </w:tc>
      </w:tr>
      <w:tr>
        <w:trPr>
          <w:cantSplit w:val="true"/>
        </w:trPr>
        <w:tc>
          <w:tcPr>
            <w:tcW w:type="dxa" w:w="1440"/>
            <w:vAlign w:val="center"/>
            <w:shd w:fill="F6F6F6"/>
          </w:tcPr>
          <w:p>
            <w:pPr>
              <w:spacing w:after="0"/>
            </w:pPr>
            <w:r>
              <w:rPr>
                <w:rFonts w:ascii="Arial" w:hAnsi="Arial"/>
                <w:b w:val="0"/>
                <w:i w:val="0"/>
                <w:color w:val="1F1F1F"/>
                <w:sz w:val="17"/>
              </w:rPr>
              <w:t>Decision</w:t>
            </w:r>
          </w:p>
        </w:tc>
        <w:tc>
          <w:tcPr>
            <w:tcW w:type="dxa" w:w="4320"/>
            <w:vAlign w:val="center"/>
            <w:shd w:fill="F6F6F6"/>
          </w:tcPr>
          <w:p>
            <w:pPr>
              <w:spacing w:after="0"/>
            </w:pPr>
            <w:r>
              <w:rPr>
                <w:rFonts w:ascii="Arial" w:hAnsi="Arial"/>
                <w:b w:val="0"/>
                <w:i w:val="0"/>
                <w:color w:val="1F1F1F"/>
                <w:sz w:val="17"/>
              </w:rPr>
              <w:t>Reasoned approval and honest offer</w:t>
            </w:r>
          </w:p>
        </w:tc>
        <w:tc>
          <w:tcPr>
            <w:tcW w:type="dxa" w:w="3744"/>
            <w:vAlign w:val="center"/>
            <w:shd w:fill="F6F6F6"/>
          </w:tcPr>
          <w:p>
            <w:pPr>
              <w:spacing w:after="0"/>
            </w:pPr>
            <w:r>
              <w:rPr>
                <w:rFonts w:ascii="Arial" w:hAnsi="Arial"/>
                <w:b w:val="0"/>
                <w:i w:val="0"/>
                <w:color w:val="1F1F1F"/>
                <w:sz w:val="17"/>
              </w:rPr>
              <w:t>GRV-HR controlled record</w:t>
            </w:r>
          </w:p>
        </w:tc>
      </w:tr>
      <w:tr>
        <w:trPr>
          <w:cantSplit w:val="true"/>
        </w:trPr>
        <w:tc>
          <w:tcPr>
            <w:tcW w:type="dxa" w:w="1440"/>
            <w:vAlign w:val="center"/>
          </w:tcPr>
          <w:p>
            <w:pPr>
              <w:spacing w:after="0"/>
            </w:pPr>
            <w:r>
              <w:rPr>
                <w:rFonts w:ascii="Arial" w:hAnsi="Arial"/>
                <w:b w:val="0"/>
                <w:i w:val="0"/>
                <w:color w:val="1F1F1F"/>
                <w:sz w:val="17"/>
              </w:rPr>
              <w:t>Start</w:t>
            </w:r>
          </w:p>
        </w:tc>
        <w:tc>
          <w:tcPr>
            <w:tcW w:type="dxa" w:w="4320"/>
            <w:vAlign w:val="center"/>
          </w:tcPr>
          <w:p>
            <w:pPr>
              <w:spacing w:after="0"/>
            </w:pPr>
            <w:r>
              <w:rPr>
                <w:rFonts w:ascii="Arial" w:hAnsi="Arial"/>
                <w:b w:val="0"/>
                <w:i w:val="0"/>
                <w:color w:val="1F1F1F"/>
                <w:sz w:val="17"/>
              </w:rPr>
              <w:t>Prepared first shift and training handoff</w:t>
            </w:r>
          </w:p>
        </w:tc>
        <w:tc>
          <w:tcPr>
            <w:tcW w:type="dxa" w:w="3744"/>
            <w:vAlign w:val="center"/>
          </w:tcPr>
          <w:p>
            <w:pPr>
              <w:spacing w:after="0"/>
            </w:pPr>
            <w:r>
              <w:rPr>
                <w:rFonts w:ascii="Arial" w:hAnsi="Arial"/>
                <w:b w:val="0"/>
                <w:i w:val="0"/>
                <w:color w:val="1F1F1F"/>
                <w:sz w:val="17"/>
              </w:rPr>
              <w:t>GRV-HR / GRV-T</w:t>
            </w:r>
          </w:p>
        </w:tc>
      </w:tr>
      <w:tr>
        <w:trPr>
          <w:cantSplit w:val="true"/>
        </w:trPr>
        <w:tc>
          <w:tcPr>
            <w:tcW w:type="dxa" w:w="1440"/>
            <w:vAlign w:val="center"/>
            <w:shd w:fill="F6F6F6"/>
          </w:tcPr>
          <w:p>
            <w:pPr>
              <w:spacing w:after="0"/>
            </w:pPr>
            <w:r>
              <w:rPr>
                <w:rFonts w:ascii="Arial" w:hAnsi="Arial"/>
                <w:b w:val="0"/>
                <w:i w:val="0"/>
                <w:color w:val="1F1F1F"/>
                <w:sz w:val="17"/>
              </w:rPr>
              <w:t>Stay</w:t>
            </w:r>
          </w:p>
        </w:tc>
        <w:tc>
          <w:tcPr>
            <w:tcW w:type="dxa" w:w="4320"/>
            <w:vAlign w:val="center"/>
            <w:shd w:fill="F6F6F6"/>
          </w:tcPr>
          <w:p>
            <w:pPr>
              <w:spacing w:after="0"/>
            </w:pPr>
            <w:r>
              <w:rPr>
                <w:rFonts w:ascii="Arial" w:hAnsi="Arial"/>
                <w:b w:val="0"/>
                <w:i w:val="0"/>
                <w:color w:val="1F1F1F"/>
                <w:sz w:val="17"/>
              </w:rPr>
              <w:t>Check-ins, coaching, concerns, pattern review</w:t>
            </w:r>
          </w:p>
        </w:tc>
        <w:tc>
          <w:tcPr>
            <w:tcW w:type="dxa" w:w="3744"/>
            <w:vAlign w:val="center"/>
            <w:shd w:fill="F6F6F6"/>
          </w:tcPr>
          <w:p>
            <w:pPr>
              <w:spacing w:after="0"/>
            </w:pPr>
            <w:r>
              <w:rPr>
                <w:rFonts w:ascii="Arial" w:hAnsi="Arial"/>
                <w:b w:val="0"/>
                <w:i w:val="0"/>
                <w:color w:val="1F1F1F"/>
                <w:sz w:val="17"/>
              </w:rPr>
              <w:t>GRV-HR / GRV-M / GRV-IV</w:t>
            </w:r>
          </w:p>
        </w:tc>
      </w:tr>
    </w:tbl>
    <w:p>
      <w:r>
        <w:br w:type="page"/>
      </w:r>
    </w:p>
    <w:p>
      <w:pPr>
        <w:pStyle w:val="Heading1"/>
      </w:pPr>
      <w:r>
        <w:t>Contents</w:t>
      </w:r>
    </w:p>
    <w:p>
      <w:pPr>
        <w:pStyle w:val="Heading2"/>
      </w:pPr>
      <w:r>
        <w:t>Part I: Face the Hiring Truth   ....  2</w:t>
      </w:r>
    </w:p>
    <w:p>
      <w:pPr>
        <w:spacing w:after="60" w:line="257" w:lineRule="auto"/>
      </w:pPr>
      <w:r>
        <w:t>Chapter 1  The Cost of Desperation Hiring  ....  3</w:t>
      </w:r>
    </w:p>
    <w:p>
      <w:pPr>
        <w:spacing w:after="60" w:line="257" w:lineRule="auto"/>
      </w:pPr>
      <w:r>
        <w:t>Chapter 2  Hire Care First  ....  7</w:t>
      </w:r>
    </w:p>
    <w:p>
      <w:pPr>
        <w:spacing w:after="60" w:line="257" w:lineRule="auto"/>
      </w:pPr>
      <w:r>
        <w:t>Chapter 3  Experience Is Evidence but Not the Whole Answer  ....  11</w:t>
      </w:r>
    </w:p>
    <w:p>
      <w:pPr>
        <w:spacing w:after="60" w:line="257" w:lineRule="auto"/>
      </w:pPr>
      <w:r>
        <w:t>Chapter 4  Stop Hiring from Memory  ....  15</w:t>
      </w:r>
    </w:p>
    <w:p>
      <w:pPr>
        <w:pStyle w:val="Heading2"/>
      </w:pPr>
      <w:r>
        <w:t>Part II: Build the Hiring Standard  ....  19</w:t>
      </w:r>
    </w:p>
    <w:p>
      <w:pPr>
        <w:spacing w:after="60" w:line="257" w:lineRule="auto"/>
      </w:pPr>
      <w:r>
        <w:t>Chapter 5  Confirm the Real Staffing Need  ....  20</w:t>
      </w:r>
    </w:p>
    <w:p>
      <w:pPr>
        <w:spacing w:after="60" w:line="257" w:lineRule="auto"/>
      </w:pPr>
      <w:r>
        <w:t>Chapter 6  Define the Real Job  ....  24</w:t>
      </w:r>
    </w:p>
    <w:p>
      <w:pPr>
        <w:spacing w:after="60" w:line="257" w:lineRule="auto"/>
      </w:pPr>
      <w:r>
        <w:t>Chapter 7  Set Fair Selection Criteria  ....  28</w:t>
      </w:r>
    </w:p>
    <w:p>
      <w:pPr>
        <w:spacing w:after="60" w:line="257" w:lineRule="auto"/>
      </w:pPr>
      <w:r>
        <w:t>Chapter 8  Tell the Truth in the Job Posting  ....  32</w:t>
      </w:r>
    </w:p>
    <w:p>
      <w:pPr>
        <w:spacing w:after="60" w:line="257" w:lineRule="auto"/>
      </w:pPr>
      <w:r>
        <w:t>Chapter 9  Review Applications Consistently  ....  36</w:t>
      </w:r>
    </w:p>
    <w:p>
      <w:pPr>
        <w:pStyle w:val="Heading2"/>
      </w:pPr>
      <w:r>
        <w:t>Part III: Interview for Evidence  ....  40</w:t>
      </w:r>
    </w:p>
    <w:p>
      <w:pPr>
        <w:spacing w:after="60" w:line="257" w:lineRule="auto"/>
      </w:pPr>
      <w:r>
        <w:t>Chapter 10  Prepare the Interview  ....  41</w:t>
      </w:r>
    </w:p>
    <w:p>
      <w:pPr>
        <w:spacing w:after="60" w:line="257" w:lineRule="auto"/>
      </w:pPr>
      <w:r>
        <w:t>Chapter 11  Open with Respect and Clarity  ....  45</w:t>
      </w:r>
    </w:p>
    <w:p>
      <w:pPr>
        <w:spacing w:after="60" w:line="257" w:lineRule="auto"/>
      </w:pPr>
      <w:r>
        <w:t>Chapter 12  Questions That Reveal Care  ....  49</w:t>
      </w:r>
    </w:p>
    <w:p>
      <w:pPr>
        <w:spacing w:after="60" w:line="257" w:lineRule="auto"/>
      </w:pPr>
      <w:r>
        <w:t>Chapter 13  Questions That Reveal Reliability  ....  53</w:t>
      </w:r>
    </w:p>
    <w:p>
      <w:pPr>
        <w:spacing w:after="60" w:line="257" w:lineRule="auto"/>
      </w:pPr>
      <w:r>
        <w:t>Chapter 14  Questions That Reveal Coachability  ....  57</w:t>
      </w:r>
    </w:p>
    <w:p>
      <w:pPr>
        <w:spacing w:after="60" w:line="257" w:lineRule="auto"/>
      </w:pPr>
      <w:r>
        <w:t>Chapter 15  Questions That Reveal Honesty and Judgment  ....  61</w:t>
      </w:r>
    </w:p>
    <w:p>
      <w:pPr>
        <w:spacing w:after="60" w:line="257" w:lineRule="auto"/>
      </w:pPr>
      <w:r>
        <w:t>Chapter 16  Give a Realistic Job Preview  ....  65</w:t>
      </w:r>
    </w:p>
    <w:p>
      <w:pPr>
        <w:spacing w:after="60" w:line="257" w:lineRule="auto"/>
      </w:pPr>
      <w:r>
        <w:t>Chapter 17  Stay Inside Lawful and Ethical Boundaries  ....  69</w:t>
      </w:r>
    </w:p>
    <w:p>
      <w:pPr>
        <w:spacing w:after="60" w:line="257" w:lineRule="auto"/>
      </w:pPr>
      <w:r>
        <w:t>Chapter 18  Check References and Background Information Carefully  ....  73</w:t>
      </w:r>
    </w:p>
    <w:p>
      <w:pPr>
        <w:pStyle w:val="Heading2"/>
      </w:pPr>
      <w:r>
        <w:t>Part IV: Make and Document the Decision  ....  77</w:t>
      </w:r>
    </w:p>
    <w:p>
      <w:pPr>
        <w:spacing w:after="60" w:line="257" w:lineRule="auto"/>
      </w:pPr>
      <w:r>
        <w:t>Chapter 19  Score Evidence Before Discussing Preference  ....  78</w:t>
      </w:r>
    </w:p>
    <w:p>
      <w:pPr>
        <w:spacing w:after="60" w:line="257" w:lineRule="auto"/>
      </w:pPr>
      <w:r>
        <w:t>Chapter 20  Use a Second Look When Evidence Is Thin  ....  82</w:t>
      </w:r>
    </w:p>
    <w:p>
      <w:pPr>
        <w:spacing w:after="60" w:line="257" w:lineRule="auto"/>
      </w:pPr>
      <w:r>
        <w:t>Chapter 21  Remove Favoritism from the Decision  ....  86</w:t>
      </w:r>
    </w:p>
    <w:p>
      <w:pPr>
        <w:spacing w:after="60" w:line="257" w:lineRule="auto"/>
      </w:pPr>
      <w:r>
        <w:t>Chapter 22  Make the Offer Honestly  ....  90</w:t>
      </w:r>
    </w:p>
    <w:p>
      <w:pPr>
        <w:spacing w:after="60" w:line="257" w:lineRule="auto"/>
      </w:pPr>
      <w:r>
        <w:t>Chapter 23  Document the Hiring Decision  ....  94</w:t>
      </w:r>
    </w:p>
    <w:p>
      <w:pPr>
        <w:pStyle w:val="Heading2"/>
      </w:pPr>
      <w:r>
        <w:t>Part V: Protect the First 90 Days   ....  98</w:t>
      </w:r>
    </w:p>
    <w:p>
      <w:pPr>
        <w:spacing w:after="60" w:line="257" w:lineRule="auto"/>
      </w:pPr>
      <w:r>
        <w:t>Chapter 24  Protect the Time Before Day One  ....  99</w:t>
      </w:r>
    </w:p>
    <w:p>
      <w:pPr>
        <w:spacing w:after="60" w:line="257" w:lineRule="auto"/>
      </w:pPr>
      <w:r>
        <w:t>Chapter 25  Make the First Shift Match the Promise  ....  103</w:t>
      </w:r>
    </w:p>
    <w:p>
      <w:pPr>
        <w:spacing w:after="60" w:line="257" w:lineRule="auto"/>
      </w:pPr>
      <w:r>
        <w:t>Chapter 26  Use 7 Day 14 Day 30 Day 60 Day and 90 Day Check Ins  ....  107</w:t>
      </w:r>
    </w:p>
    <w:p>
      <w:pPr>
        <w:spacing w:after="60" w:line="257" w:lineRule="auto"/>
      </w:pPr>
      <w:r>
        <w:t>Chapter 27  Separate Fit Problems from Training Problems  ....  111</w:t>
      </w:r>
    </w:p>
    <w:p>
      <w:pPr>
        <w:spacing w:after="60" w:line="257" w:lineRule="auto"/>
      </w:pPr>
      <w:r>
        <w:t>Chapter 28  Coach Early and Fairly  ....  115</w:t>
      </w:r>
    </w:p>
    <w:p>
      <w:pPr>
        <w:pStyle w:val="Heading2"/>
      </w:pPr>
      <w:r>
        <w:t>Part VI: Keep the Right Employees  ....  119</w:t>
      </w:r>
    </w:p>
    <w:p>
      <w:pPr>
        <w:spacing w:after="60" w:line="257" w:lineRule="auto"/>
      </w:pPr>
      <w:r>
        <w:t>Chapter 29  Why Good Employees Stay  ....  120</w:t>
      </w:r>
    </w:p>
    <w:p>
      <w:pPr>
        <w:spacing w:after="60" w:line="257" w:lineRule="auto"/>
      </w:pPr>
      <w:r>
        <w:t>Chapter 30  Use Stay Conversations Before Exit Interviews  ....  124</w:t>
      </w:r>
    </w:p>
    <w:p>
      <w:pPr>
        <w:spacing w:after="60" w:line="257" w:lineRule="auto"/>
      </w:pPr>
      <w:r>
        <w:t>Chapter 31  Handle Concerns without Gossip or Retaliation  ....  128</w:t>
      </w:r>
    </w:p>
    <w:p>
      <w:pPr>
        <w:pStyle w:val="Heading2"/>
      </w:pPr>
      <w:r>
        <w:t>Part VII: Coach Problems and Learn from Loss  ....  132</w:t>
      </w:r>
    </w:p>
    <w:p>
      <w:pPr>
        <w:spacing w:after="60" w:line="257" w:lineRule="auto"/>
      </w:pPr>
      <w:r>
        <w:t>Chapter 32  Separate Coaching Corrective Action and Separation  ....  133</w:t>
      </w:r>
    </w:p>
    <w:p>
      <w:pPr>
        <w:spacing w:after="60" w:line="257" w:lineRule="auto"/>
      </w:pPr>
      <w:r>
        <w:t>Chapter 33  Learn from Every Departure  ....  137</w:t>
      </w:r>
    </w:p>
    <w:p>
      <w:pPr>
        <w:spacing w:after="60" w:line="257" w:lineRule="auto"/>
      </w:pPr>
      <w:r>
        <w:t>Chapter 34  Measure Turnover without Hiding the Story  ....  141</w:t>
      </w:r>
    </w:p>
    <w:p>
      <w:pPr>
        <w:pStyle w:val="Heading2"/>
      </w:pPr>
      <w:r>
        <w:t>Part VIII: Install and Hold the System  ....  145</w:t>
      </w:r>
    </w:p>
    <w:p>
      <w:pPr>
        <w:spacing w:after="60" w:line="257" w:lineRule="auto"/>
      </w:pPr>
      <w:r>
        <w:t>Chapter 35  Review Hiring and Retention Every Week  ....  146</w:t>
      </w:r>
    </w:p>
    <w:p>
      <w:pPr>
        <w:spacing w:after="60" w:line="257" w:lineRule="auto"/>
        <w:sectPr w:rsidR="00FC693F" w:rsidRPr="0006063C" w:rsidSect="00034616">
          <w:type w:val="nextPage"/>
          <w:pgSz w:w="12240" w:h="15840"/>
          <w:pgMar w:top="979" w:right="979" w:bottom="893" w:left="1181" w:header="403" w:footer="403" w:gutter="173"/>
          <w:cols w:space="720"/>
          <w:docGrid w:linePitch="360"/>
        </w:sectPr>
      </w:pPr>
      <w:r>
        <w:t>Chapter 36  Install the System in 30 or 60 Days  ....  150</w:t>
      </w:r>
    </w:p>
    <w:p>
      <w:pPr>
        <w:pStyle w:val="Heading1"/>
      </w:pPr>
      <w:r>
        <w:t>Introduction: Hiring Is an Operating Decision</w:t>
      </w:r>
    </w:p>
    <w:p>
      <w:pPr>
        <w:spacing w:after="140" w:line="257" w:lineRule="auto"/>
      </w:pPr>
      <w:r>
        <w:rPr>
          <w:rFonts w:ascii="Arial" w:hAnsi="Arial"/>
          <w:b w:val="0"/>
          <w:i w:val="0"/>
          <w:color w:val="1F1F1F"/>
          <w:sz w:val="20"/>
        </w:rPr>
        <w:t>A vacancy is loud. The costs created by a weak decision are quieter: a trainer pulled from position, overtime, missed cleaning, guest recovery, schedule swaps, manager attention, and the next resignation. Pressure explains why shortcuts happen. It does not make them safe.</w:t>
      </w:r>
    </w:p>
    <w:p>
      <w:pPr>
        <w:spacing w:after="140" w:line="257" w:lineRule="auto"/>
      </w:pPr>
      <w:r>
        <w:rPr>
          <w:rFonts w:ascii="Arial" w:hAnsi="Arial"/>
          <w:b w:val="0"/>
          <w:i w:val="0"/>
          <w:color w:val="1F1F1F"/>
          <w:sz w:val="20"/>
        </w:rPr>
        <w:t>This workbook replaces the loose sequence—post, talk, guess, hope—with a visible management cycle. The restaurant defines the need, tells the truth about the work, gathers comparable evidence, records the decision, supports the start, listens early, and learns from patterns. The signature principle is simple: Hire care first. Train skill second. The practice is more demanding: managers must translate care into job-related behavior and refuse to confuse it with charm.</w:t>
      </w:r>
    </w:p>
    <w:p>
      <w:pPr>
        <w:spacing w:after="140" w:line="257" w:lineRule="auto"/>
      </w:pPr>
      <w:r>
        <w:rPr>
          <w:rFonts w:ascii="Arial" w:hAnsi="Arial"/>
          <w:b w:val="0"/>
          <w:i w:val="0"/>
          <w:color w:val="1F1F1F"/>
          <w:sz w:val="20"/>
        </w:rPr>
        <w:t>Experience matters when it shows usable knowledge, safe habits, sound judgment, or faster learning. It is not a waiver from standards. A less experienced candidate may offer stronger evidence of preparation, responsibility, honest learning, and response to feedback. The decision is not “experience or care.” It is whether the evidence supports success in the real role and whether trainable gaps can be closed responsibly.</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Promise  </w:t>
            </w:r>
            <w:r>
              <w:rPr>
                <w:rFonts w:ascii="Arial" w:hAnsi="Arial"/>
                <w:b w:val="0"/>
                <w:i w:val="0"/>
                <w:color w:val="1F1F1F"/>
                <w:sz w:val="19"/>
              </w:rPr>
              <w:t>Use this workbook to make hiring more structured, interviews more comparable, first-90-day support more deliberate, and retention decisions more honest. No system eliminates uncertainty; a good system makes the reasoning visible and correctable.</w:t>
            </w:r>
          </w:p>
        </w:tc>
      </w:tr>
    </w:tbl>
    <w:p>
      <w:r>
        <w:br w:type="page"/>
      </w:r>
    </w:p>
    <w:p>
      <w:pPr>
        <w:pStyle w:val="Heading1"/>
      </w:pPr>
      <w:r>
        <w:t>Part I</w:t>
      </w:r>
    </w:p>
    <w:p>
      <w:pPr>
        <w:pStyle w:val="Heading1"/>
      </w:pPr>
      <w:r>
        <w:t>Face the Hiring Truth</w:t>
      </w:r>
    </w:p>
    <w:p>
      <w:pPr>
        <w:spacing w:after="140" w:line="257" w:lineRule="auto"/>
      </w:pPr>
      <w:r>
        <w:rPr>
          <w:rFonts w:ascii="Arial" w:hAnsi="Arial"/>
          <w:b w:val="0"/>
          <w:i w:val="0"/>
          <w:color w:val="1F1F1F"/>
          <w:sz w:val="22"/>
        </w:rPr>
        <w:t>Move the reader from vacancy panic and informal judgment to evidence, role clarity, and accountable ownership.</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Replace urgency and instinct with a defined decision standard.</w:t>
            </w:r>
          </w:p>
        </w:tc>
      </w:tr>
    </w:tbl>
    <w:p>
      <w:r>
        <w:br w:type="page"/>
      </w:r>
    </w:p>
    <w:p>
      <w:pPr>
        <w:pStyle w:val="Heading1"/>
      </w:pPr>
      <w:r>
        <w:t>Chapter 1</w:t>
      </w:r>
    </w:p>
    <w:p>
      <w:pPr>
        <w:pStyle w:val="Heading1"/>
      </w:pPr>
      <w:r>
        <w:t>The Cost of Desperation Hiring</w:t>
      </w:r>
    </w:p>
    <w:p>
      <w:pPr>
        <w:spacing w:after="140" w:line="257" w:lineRule="auto"/>
      </w:pPr>
      <w:r>
        <w:rPr>
          <w:rFonts w:ascii="Arial" w:hAnsi="Arial"/>
          <w:b w:val="0"/>
          <w:i w:val="0"/>
          <w:color w:val="1F1F1F"/>
          <w:sz w:val="22"/>
        </w:rPr>
        <w:t>Show how vacancy pressure shifts cost into training, service, morale, overtime, safety, and repeated turnover.</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does a fast but weak hire really cost?</w:t>
            </w:r>
          </w:p>
        </w:tc>
      </w:tr>
    </w:tbl>
    <w:p>
      <w:pPr>
        <w:pStyle w:val="Heading2"/>
      </w:pPr>
      <w:r>
        <w:t>Why this chapter matters</w:t>
      </w:r>
    </w:p>
    <w:p>
      <w:pPr>
        <w:spacing w:after="140" w:line="257" w:lineRule="auto"/>
      </w:pPr>
      <w:r>
        <w:rPr>
          <w:rFonts w:ascii="Arial" w:hAnsi="Arial"/>
          <w:b w:val="0"/>
          <w:i w:val="0"/>
          <w:color w:val="1F1F1F"/>
          <w:sz w:val="20"/>
        </w:rPr>
        <w:t>In restaurant operations, pressure and judgment becomes unreliable when the decision lives only in memory or urgency. Replace urgency and instinct with a defined decision standard.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“The Cost of Desperation Hiring,” the written record should make those five points visible without exaggeration or labels.</w:t>
      </w:r>
    </w:p>
    <w:p>
      <w:pPr>
        <w:pStyle w:val="Heading2"/>
      </w:pPr>
      <w:r>
        <w:t>Care-first lens</w:t>
      </w:r>
    </w:p>
    <w:p>
      <w:pPr>
        <w:spacing w:after="140" w:line="257" w:lineRule="auto"/>
      </w:pPr>
      <w:r>
        <w:t>Notice whether urgency is driving the standard down. Protect the schedule by defining the gap before naming a person.</w:t>
      </w:r>
    </w:p>
    <w:p>
      <w:pPr>
        <w:pStyle w:val="Heading2"/>
      </w:pPr>
      <w:r>
        <w:t>Manager warning</w:t>
      </w:r>
    </w:p>
    <w:p>
      <w:pPr>
        <w:spacing w:after="140" w:line="257" w:lineRule="auto"/>
      </w:pPr>
      <w:r>
        <w:t>Do not let one uncovered shift become permission to hire someone the role evidence does not support.</w:t>
      </w:r>
    </w:p>
    <w:p>
      <w:r>
        <w:br w:type="page"/>
      </w:r>
    </w:p>
    <w:p>
      <w:pPr>
        <w:pStyle w:val="Heading1"/>
      </w:pPr>
      <w:r>
        <w:t>Chapter 1 Field Guide  ....  3</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does a fast but weak hire really cost?</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Show how vacancy pressure shifts cost into training, service, morale, overtime, safety, and repeated turnover.</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Friday Night Vacancy</w:t>
      </w:r>
    </w:p>
    <w:p>
      <w:pPr>
        <w:spacing w:after="140" w:line="257" w:lineRule="auto"/>
      </w:pPr>
      <w:r>
        <w:rPr>
          <w:rFonts w:ascii="Arial" w:hAnsi="Arial"/>
          <w:b w:val="0"/>
          <w:i w:val="0"/>
          <w:color w:val="1F1F1F"/>
          <w:sz w:val="22"/>
        </w:rPr>
        <w:t>A manager wants to hire the first available applicant without a role-success profile.</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 Action Record  ....  3</w:t>
      </w:r>
    </w:p>
    <w:p>
      <w:pPr>
        <w:spacing w:after="140" w:line="257" w:lineRule="auto"/>
      </w:pPr>
      <w:r>
        <w:rPr>
          <w:rFonts w:ascii="Arial" w:hAnsi="Arial"/>
          <w:b w:val="0"/>
          <w:i w:val="0"/>
          <w:color w:val="1F1F1F"/>
          <w:sz w:val="19"/>
        </w:rPr>
        <w:t>Complete this page for one real decision involving “The Cost of Desperation Hiring.”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w:t>
      </w:r>
    </w:p>
    <w:p>
      <w:pPr>
        <w:pStyle w:val="Heading1"/>
      </w:pPr>
      <w:r>
        <w:t>Hire Care First</w:t>
      </w:r>
    </w:p>
    <w:p>
      <w:pPr>
        <w:spacing w:after="140" w:line="257" w:lineRule="auto"/>
      </w:pPr>
      <w:r>
        <w:rPr>
          <w:rFonts w:ascii="Arial" w:hAnsi="Arial"/>
          <w:b w:val="0"/>
          <w:i w:val="0"/>
          <w:color w:val="1F1F1F"/>
          <w:sz w:val="22"/>
        </w:rPr>
        <w:t>Define care as observable job-related behavior and establish the book’s signature principle.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does “care” mean in a fair hiring process?</w:t>
            </w:r>
          </w:p>
        </w:tc>
      </w:tr>
    </w:tbl>
    <w:p>
      <w:pPr>
        <w:pStyle w:val="Heading2"/>
      </w:pPr>
      <w:r>
        <w:t>Why this chapter matters</w:t>
      </w:r>
    </w:p>
    <w:p>
      <w:pPr>
        <w:spacing w:after="140" w:line="257" w:lineRule="auto"/>
      </w:pPr>
      <w:r>
        <w:rPr>
          <w:rFonts w:ascii="Arial" w:hAnsi="Arial"/>
          <w:b w:val="0"/>
          <w:i w:val="0"/>
          <w:color w:val="1F1F1F"/>
          <w:sz w:val="20"/>
        </w:rPr>
        <w:t>In restaurant operations, pressure and judgment becomes unreliable when the decision lives only in memory or urgency. Replace urgency and instinct with a defined decision standard.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“Hire Care First,” the written record should make those five points visible without exaggeration or labels.</w:t>
      </w:r>
    </w:p>
    <w:p>
      <w:pPr>
        <w:pStyle w:val="Heading2"/>
      </w:pPr>
      <w:r>
        <w:t>Care-first lens</w:t>
      </w:r>
    </w:p>
    <w:p>
      <w:pPr>
        <w:spacing w:after="140" w:line="257" w:lineRule="auto"/>
      </w:pPr>
      <w:r>
        <w:t>Look for a pattern of taking responsibility for guests, coworkers, standards, and mistakes.</w:t>
      </w:r>
    </w:p>
    <w:p>
      <w:pPr>
        <w:pStyle w:val="Heading2"/>
      </w:pPr>
      <w:r>
        <w:t>Manager warning</w:t>
      </w:r>
    </w:p>
    <w:p>
      <w:pPr>
        <w:spacing w:after="140" w:line="257" w:lineRule="auto"/>
      </w:pPr>
      <w:r>
        <w:t>Do not confuse warmth, charm, or familiarity with dependable care.</w:t>
      </w:r>
    </w:p>
    <w:p>
      <w:r>
        <w:br w:type="page"/>
      </w:r>
    </w:p>
    <w:p>
      <w:pPr>
        <w:pStyle w:val="Heading1"/>
      </w:pPr>
      <w:r>
        <w:t>Chapter 2 Field Guide  ....  7</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does “care” mean in a fair hiring process?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Define care as observable job-related behavior and establish the book’s signature principle.</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Experienced Candidate</w:t>
      </w:r>
    </w:p>
    <w:p>
      <w:pPr>
        <w:spacing w:after="140" w:line="257" w:lineRule="auto"/>
      </w:pPr>
      <w:r>
        <w:rPr>
          <w:rFonts w:ascii="Arial" w:hAnsi="Arial"/>
          <w:b w:val="0"/>
          <w:i w:val="0"/>
          <w:color w:val="1F1F1F"/>
          <w:sz w:val="22"/>
        </w:rPr>
        <w:t>Strong experience is paired with blame, disrespect, or resistance to standards.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 Action Record  ....  7</w:t>
      </w:r>
    </w:p>
    <w:p>
      <w:pPr>
        <w:spacing w:after="140" w:line="257" w:lineRule="auto"/>
      </w:pPr>
      <w:r>
        <w:rPr>
          <w:rFonts w:ascii="Arial" w:hAnsi="Arial"/>
          <w:b w:val="0"/>
          <w:i w:val="0"/>
          <w:color w:val="1F1F1F"/>
          <w:sz w:val="19"/>
        </w:rPr>
        <w:t>Complete this page for one real decision involving “Hire Care First.”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w:t>
      </w:r>
    </w:p>
    <w:p>
      <w:pPr>
        <w:pStyle w:val="Heading1"/>
      </w:pPr>
      <w:r>
        <w:t>Experience Is Evidence but Not the Whole Answer</w:t>
      </w:r>
    </w:p>
    <w:p>
      <w:pPr>
        <w:spacing w:after="140" w:line="257" w:lineRule="auto"/>
      </w:pPr>
      <w:r>
        <w:rPr>
          <w:rFonts w:ascii="Arial" w:hAnsi="Arial"/>
          <w:b w:val="0"/>
          <w:i w:val="0"/>
          <w:color w:val="1F1F1F"/>
          <w:sz w:val="22"/>
        </w:rPr>
        <w:t>Separate useful experience from reliability, learning, standards, and team impact.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When should experience matter, and when does it mislead?</w:t>
            </w:r>
          </w:p>
        </w:tc>
      </w:tr>
    </w:tbl>
    <w:p>
      <w:pPr>
        <w:pStyle w:val="Heading2"/>
      </w:pPr>
      <w:r>
        <w:t>Why this chapter matters</w:t>
      </w:r>
    </w:p>
    <w:p>
      <w:pPr>
        <w:spacing w:after="140" w:line="257" w:lineRule="auto"/>
      </w:pPr>
      <w:r>
        <w:rPr>
          <w:rFonts w:ascii="Arial" w:hAnsi="Arial"/>
          <w:b w:val="0"/>
          <w:i w:val="0"/>
          <w:color w:val="1F1F1F"/>
          <w:sz w:val="20"/>
        </w:rPr>
        <w:t>In restaurant operations, pressure and judgment becomes unreliable when the decision lives only in memory or urgency. Replace urgency and instinct with a defined decision standard.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“Experience Is Evidence but Not the Whole Answer,” the written record should make those five points visible without exaggeration or labels.</w:t>
      </w:r>
    </w:p>
    <w:p>
      <w:pPr>
        <w:pStyle w:val="Heading2"/>
      </w:pPr>
      <w:r>
        <w:t>Care-first lens</w:t>
      </w:r>
    </w:p>
    <w:p>
      <w:pPr>
        <w:spacing w:after="140" w:line="257" w:lineRule="auto"/>
      </w:pPr>
      <w:r>
        <w:t>Use past work to ask better follow-up questions about actions, results, and learning.</w:t>
      </w:r>
    </w:p>
    <w:p>
      <w:pPr>
        <w:pStyle w:val="Heading2"/>
      </w:pPr>
      <w:r>
        <w:t>Manager warning</w:t>
      </w:r>
    </w:p>
    <w:p>
      <w:pPr>
        <w:spacing w:after="140" w:line="257" w:lineRule="auto"/>
      </w:pPr>
      <w:r>
        <w:t>Do not treat a recognizable employer or years served as proof of present capability.</w:t>
      </w:r>
    </w:p>
    <w:p>
      <w:r>
        <w:br w:type="page"/>
      </w:r>
    </w:p>
    <w:p>
      <w:pPr>
        <w:pStyle w:val="Heading1"/>
      </w:pPr>
      <w:r>
        <w:t>Chapter 3 Field Guide  ....  11</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When should experience matter, and when does it mislead?</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Separate useful experience from reliability, learning, standards, and team impact.</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Quiet Candidate</w:t>
      </w:r>
    </w:p>
    <w:p>
      <w:pPr>
        <w:spacing w:after="140" w:line="257" w:lineRule="auto"/>
      </w:pPr>
      <w:r>
        <w:rPr>
          <w:rFonts w:ascii="Arial" w:hAnsi="Arial"/>
          <w:b w:val="0"/>
          <w:i w:val="0"/>
          <w:color w:val="1F1F1F"/>
          <w:sz w:val="22"/>
        </w:rPr>
        <w:t>A reserved candidate provides strong evidence but does not perform socially like the manager expects.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 Action Record  ....  11</w:t>
      </w:r>
    </w:p>
    <w:p>
      <w:pPr>
        <w:spacing w:after="140" w:line="257" w:lineRule="auto"/>
      </w:pPr>
      <w:r>
        <w:rPr>
          <w:rFonts w:ascii="Arial" w:hAnsi="Arial"/>
          <w:b w:val="0"/>
          <w:i w:val="0"/>
          <w:color w:val="1F1F1F"/>
          <w:sz w:val="19"/>
        </w:rPr>
        <w:t>Complete this page for one real decision involving “Experience Is Evidence but Not the Whole Answer.”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4</w:t>
      </w:r>
    </w:p>
    <w:p>
      <w:pPr>
        <w:pStyle w:val="Heading1"/>
      </w:pPr>
      <w:r>
        <w:t>Stop Hiring from Memory</w:t>
      </w:r>
    </w:p>
    <w:p>
      <w:pPr>
        <w:spacing w:after="140" w:line="257" w:lineRule="auto"/>
      </w:pPr>
      <w:r>
        <w:rPr>
          <w:rFonts w:ascii="Arial" w:hAnsi="Arial"/>
          <w:b w:val="0"/>
          <w:i w:val="0"/>
          <w:color w:val="1F1F1F"/>
          <w:sz w:val="22"/>
        </w:rPr>
        <w:t>Establish structure, ownership, records, comparable questions, and decision accountability.</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Why do informal interviews produce inconsistent decisions?</w:t>
            </w:r>
          </w:p>
        </w:tc>
      </w:tr>
    </w:tbl>
    <w:p>
      <w:pPr>
        <w:pStyle w:val="Heading2"/>
      </w:pPr>
      <w:r>
        <w:t>Why this chapter matters</w:t>
      </w:r>
    </w:p>
    <w:p>
      <w:pPr>
        <w:spacing w:after="140" w:line="257" w:lineRule="auto"/>
      </w:pPr>
      <w:r>
        <w:rPr>
          <w:rFonts w:ascii="Arial" w:hAnsi="Arial"/>
          <w:b w:val="0"/>
          <w:i w:val="0"/>
          <w:color w:val="1F1F1F"/>
          <w:sz w:val="20"/>
        </w:rPr>
        <w:t>In restaurant operations, pressure and judgment becomes unreliable when the decision lives only in memory or urgency. Replace urgency and instinct with a defined decision standard.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“Stop Hiring from Memory,” the written record should make those five points visible without exaggeration or labels.</w:t>
      </w:r>
    </w:p>
    <w:p>
      <w:pPr>
        <w:pStyle w:val="Heading2"/>
      </w:pPr>
      <w:r>
        <w:t>Care-first lens</w:t>
      </w:r>
    </w:p>
    <w:p>
      <w:pPr>
        <w:spacing w:after="140" w:line="257" w:lineRule="auto"/>
      </w:pPr>
      <w:r>
        <w:t>Write down the job standard and the evidence before discussing an applicant.</w:t>
      </w:r>
    </w:p>
    <w:p>
      <w:pPr>
        <w:pStyle w:val="Heading2"/>
      </w:pPr>
      <w:r>
        <w:t>Manager warning</w:t>
      </w:r>
    </w:p>
    <w:p>
      <w:pPr>
        <w:spacing w:after="140" w:line="257" w:lineRule="auto"/>
      </w:pPr>
      <w:r>
        <w:t>Do not allow the loudest recollection to replace a comparable record.</w:t>
      </w:r>
    </w:p>
    <w:p>
      <w:r>
        <w:br w:type="page"/>
      </w:r>
    </w:p>
    <w:p>
      <w:pPr>
        <w:pStyle w:val="Heading1"/>
      </w:pPr>
      <w:r>
        <w:t>Chapter 4 Field Guide  ....  15</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Why do informal interviews produce inconsistent decisions?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Establish structure, ownership, records, comparable questions, and decision accountability.</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Employee Referral</w:t>
      </w:r>
    </w:p>
    <w:p>
      <w:pPr>
        <w:spacing w:after="140" w:line="257" w:lineRule="auto"/>
      </w:pPr>
      <w:r>
        <w:rPr>
          <w:rFonts w:ascii="Arial" w:hAnsi="Arial"/>
          <w:b w:val="0"/>
          <w:i w:val="0"/>
          <w:color w:val="1F1F1F"/>
          <w:sz w:val="22"/>
        </w:rPr>
        <w:t>A respected employee recommends a friend and the manager wants to skip the normal process.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4.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4 Action Record  ....  15</w:t>
      </w:r>
    </w:p>
    <w:p>
      <w:pPr>
        <w:spacing w:after="140" w:line="257" w:lineRule="auto"/>
      </w:pPr>
      <w:r>
        <w:rPr>
          <w:rFonts w:ascii="Arial" w:hAnsi="Arial"/>
          <w:b w:val="0"/>
          <w:i w:val="0"/>
          <w:color w:val="1F1F1F"/>
          <w:sz w:val="19"/>
        </w:rPr>
        <w:t>Complete this page for one real decision involving “Stop Hiring from Memory.”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II</w:t>
      </w:r>
    </w:p>
    <w:p>
      <w:pPr>
        <w:pStyle w:val="Heading1"/>
      </w:pPr>
      <w:r>
        <w:t>Build the Hiring Standard</w:t>
      </w:r>
    </w:p>
    <w:p>
      <w:pPr>
        <w:spacing w:after="140" w:line="257" w:lineRule="auto"/>
      </w:pPr>
      <w:r>
        <w:rPr>
          <w:rFonts w:ascii="Arial" w:hAnsi="Arial"/>
          <w:b w:val="0"/>
          <w:i w:val="0"/>
          <w:color w:val="1F1F1F"/>
          <w:sz w:val="22"/>
        </w:rPr>
        <w:t>Define the need, the role, the success evidence, the process, and the boundaries before recruiting.</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Write the job-related standard before evaluating a person.</w:t>
            </w:r>
          </w:p>
        </w:tc>
      </w:tr>
    </w:tbl>
    <w:p>
      <w:r>
        <w:br w:type="page"/>
      </w:r>
    </w:p>
    <w:p>
      <w:pPr>
        <w:pStyle w:val="Heading1"/>
      </w:pPr>
      <w:r>
        <w:t>Chapter 5</w:t>
      </w:r>
    </w:p>
    <w:p>
      <w:pPr>
        <w:pStyle w:val="Heading1"/>
      </w:pPr>
      <w:r>
        <w:t>Confirm the Real Staffing Need</w:t>
      </w:r>
    </w:p>
    <w:p>
      <w:pPr>
        <w:spacing w:after="140" w:line="257" w:lineRule="auto"/>
      </w:pPr>
      <w:r>
        <w:rPr>
          <w:rFonts w:ascii="Arial" w:hAnsi="Arial"/>
          <w:b w:val="0"/>
          <w:i w:val="0"/>
          <w:color w:val="1F1F1F"/>
          <w:sz w:val="22"/>
        </w:rPr>
        <w:t>Require evidence of volume, coverage, skill mix, availability, turnover, and budget before opening a position.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Do we need another person, different coverage, or better deployment?</w:t>
            </w:r>
          </w:p>
        </w:tc>
      </w:tr>
    </w:tbl>
    <w:p>
      <w:pPr>
        <w:pStyle w:val="Heading2"/>
      </w:pPr>
      <w:r>
        <w:t>Why this chapter matters</w:t>
      </w:r>
    </w:p>
    <w:p>
      <w:pPr>
        <w:spacing w:after="140" w:line="257" w:lineRule="auto"/>
      </w:pPr>
      <w:r>
        <w:rPr>
          <w:rFonts w:ascii="Arial" w:hAnsi="Arial"/>
          <w:b w:val="0"/>
          <w:i w:val="0"/>
          <w:color w:val="1F1F1F"/>
          <w:sz w:val="20"/>
        </w:rPr>
        <w:t>In restaurant operations, role and process design becomes unreliable when the decision lives only in memory or urgency. Write the job-related standard before evaluating a person.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“Confirm the Real Staffing Need,” the written record should make those five points visible without exaggeration or labels.</w:t>
      </w:r>
    </w:p>
    <w:p>
      <w:pPr>
        <w:pStyle w:val="Heading2"/>
      </w:pPr>
      <w:r>
        <w:t>Care-first lens</w:t>
      </w:r>
    </w:p>
    <w:p>
      <w:pPr>
        <w:spacing w:after="140" w:line="257" w:lineRule="auto"/>
      </w:pPr>
      <w:r>
        <w:t>Test whether the need is a true headcount gap, a coverage problem, or a training and deployment problem.</w:t>
      </w:r>
    </w:p>
    <w:p>
      <w:pPr>
        <w:pStyle w:val="Heading2"/>
      </w:pPr>
      <w:r>
        <w:t>Manager warning</w:t>
      </w:r>
    </w:p>
    <w:p>
      <w:pPr>
        <w:spacing w:after="140" w:line="257" w:lineRule="auto"/>
      </w:pPr>
      <w:r>
        <w:t>Do not open a requisition before the schedule and workload explain why it is needed.</w:t>
      </w:r>
    </w:p>
    <w:p>
      <w:r>
        <w:br w:type="page"/>
      </w:r>
    </w:p>
    <w:p>
      <w:pPr>
        <w:pStyle w:val="Heading1"/>
      </w:pPr>
      <w:r>
        <w:t>Chapter 5 Field Guide  ....  20</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Do we need another person, different coverage, or better deployment?</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Require evidence of volume, coverage, skill mix, availability, turnover, and budget before opening a position.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Schedule Mismatch</w:t>
      </w:r>
    </w:p>
    <w:p>
      <w:pPr>
        <w:spacing w:after="140" w:line="257" w:lineRule="auto"/>
      </w:pPr>
      <w:r>
        <w:rPr>
          <w:rFonts w:ascii="Arial" w:hAnsi="Arial"/>
          <w:b w:val="0"/>
          <w:i w:val="0"/>
          <w:color w:val="1F1F1F"/>
          <w:sz w:val="22"/>
        </w:rPr>
        <w:t>The candidate is capable, but the available hours do not match the restaurant’s verified need.</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5.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5 Action Record  ....  20</w:t>
      </w:r>
    </w:p>
    <w:p>
      <w:pPr>
        <w:spacing w:after="140" w:line="257" w:lineRule="auto"/>
      </w:pPr>
      <w:r>
        <w:rPr>
          <w:rFonts w:ascii="Arial" w:hAnsi="Arial"/>
          <w:b w:val="0"/>
          <w:i w:val="0"/>
          <w:color w:val="1F1F1F"/>
          <w:sz w:val="19"/>
        </w:rPr>
        <w:t>Complete this page for one real decision involving “Confirm the Real Staffing Need.”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6</w:t>
      </w:r>
    </w:p>
    <w:p>
      <w:pPr>
        <w:pStyle w:val="Heading1"/>
      </w:pPr>
      <w:r>
        <w:t>Define the Real Job</w:t>
      </w:r>
    </w:p>
    <w:p>
      <w:pPr>
        <w:spacing w:after="140" w:line="257" w:lineRule="auto"/>
      </w:pPr>
      <w:r>
        <w:rPr>
          <w:rFonts w:ascii="Arial" w:hAnsi="Arial"/>
          <w:b w:val="0"/>
          <w:i w:val="0"/>
          <w:color w:val="1F1F1F"/>
          <w:sz w:val="22"/>
        </w:rPr>
        <w:t>Build a position success profile from actual duties, conditions, schedule, physical demands, standards, and training reality.</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must the person actually be able and willing to do?</w:t>
            </w:r>
          </w:p>
        </w:tc>
      </w:tr>
    </w:tbl>
    <w:p>
      <w:pPr>
        <w:pStyle w:val="Heading2"/>
      </w:pPr>
      <w:r>
        <w:t>Why this chapter matters</w:t>
      </w:r>
    </w:p>
    <w:p>
      <w:pPr>
        <w:spacing w:after="140" w:line="257" w:lineRule="auto"/>
      </w:pPr>
      <w:r>
        <w:rPr>
          <w:rFonts w:ascii="Arial" w:hAnsi="Arial"/>
          <w:b w:val="0"/>
          <w:i w:val="0"/>
          <w:color w:val="1F1F1F"/>
          <w:sz w:val="20"/>
        </w:rPr>
        <w:t>In restaurant operations, role and process design becomes unreliable when the decision lives only in memory or urgency. Write the job-related standard before evaluating a person.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“Define the Real Job,” the written record should make those five points visible without exaggeration or labels.</w:t>
      </w:r>
    </w:p>
    <w:p>
      <w:pPr>
        <w:pStyle w:val="Heading2"/>
      </w:pPr>
      <w:r>
        <w:t>Care-first lens</w:t>
      </w:r>
    </w:p>
    <w:p>
      <w:pPr>
        <w:spacing w:after="140" w:line="257" w:lineRule="auto"/>
      </w:pPr>
      <w:r>
        <w:t>Name the actual conditions, key tasks, pace, and standards of the job as it is worked.</w:t>
      </w:r>
    </w:p>
    <w:p>
      <w:pPr>
        <w:pStyle w:val="Heading2"/>
      </w:pPr>
      <w:r>
        <w:t>Manager warning</w:t>
      </w:r>
    </w:p>
    <w:p>
      <w:pPr>
        <w:spacing w:after="140" w:line="257" w:lineRule="auto"/>
      </w:pPr>
      <w:r>
        <w:t>Do not sell a simplified role and then judge a new employee against hidden expectations.</w:t>
      </w:r>
    </w:p>
    <w:p>
      <w:r>
        <w:br w:type="page"/>
      </w:r>
    </w:p>
    <w:p>
      <w:pPr>
        <w:pStyle w:val="Heading1"/>
      </w:pPr>
      <w:r>
        <w:t>Chapter 6 Field Guide  ....  24</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must the person actually be able and willing to do?</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Build a position success profile from actual duties, conditions, schedule, physical demands, standards, and training reality.</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Perfect Interview</w:t>
      </w:r>
    </w:p>
    <w:p>
      <w:pPr>
        <w:spacing w:after="140" w:line="257" w:lineRule="auto"/>
      </w:pPr>
      <w:r>
        <w:rPr>
          <w:rFonts w:ascii="Arial" w:hAnsi="Arial"/>
          <w:b w:val="0"/>
          <w:i w:val="0"/>
          <w:color w:val="1F1F1F"/>
          <w:sz w:val="22"/>
        </w:rPr>
        <w:t>Answers sound polished but contain few concrete examples or verifiable detail.</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6.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6 Action Record  ....  24</w:t>
      </w:r>
    </w:p>
    <w:p>
      <w:pPr>
        <w:spacing w:after="140" w:line="257" w:lineRule="auto"/>
      </w:pPr>
      <w:r>
        <w:rPr>
          <w:rFonts w:ascii="Arial" w:hAnsi="Arial"/>
          <w:b w:val="0"/>
          <w:i w:val="0"/>
          <w:color w:val="1F1F1F"/>
          <w:sz w:val="19"/>
        </w:rPr>
        <w:t>Complete this page for one real decision involving “Define the Real Job.”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7</w:t>
      </w:r>
    </w:p>
    <w:p>
      <w:pPr>
        <w:pStyle w:val="Heading1"/>
      </w:pPr>
      <w:r>
        <w:t>Set Fair Selection Criteria</w:t>
      </w:r>
    </w:p>
    <w:p>
      <w:pPr>
        <w:spacing w:after="140" w:line="257" w:lineRule="auto"/>
      </w:pPr>
      <w:r>
        <w:rPr>
          <w:rFonts w:ascii="Arial" w:hAnsi="Arial"/>
          <w:b w:val="0"/>
          <w:i w:val="0"/>
          <w:color w:val="1F1F1F"/>
          <w:sz w:val="22"/>
        </w:rPr>
        <w:t>Separate required, preferred, trainable, and irrelevant criteria.</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Which standards are necessary and consistently defensible?</w:t>
            </w:r>
          </w:p>
        </w:tc>
      </w:tr>
    </w:tbl>
    <w:p>
      <w:pPr>
        <w:pStyle w:val="Heading2"/>
      </w:pPr>
      <w:r>
        <w:t>Why this chapter matters</w:t>
      </w:r>
    </w:p>
    <w:p>
      <w:pPr>
        <w:spacing w:after="140" w:line="257" w:lineRule="auto"/>
      </w:pPr>
      <w:r>
        <w:rPr>
          <w:rFonts w:ascii="Arial" w:hAnsi="Arial"/>
          <w:b w:val="0"/>
          <w:i w:val="0"/>
          <w:color w:val="1F1F1F"/>
          <w:sz w:val="20"/>
        </w:rPr>
        <w:t>In restaurant operations, role and process design becomes unreliable when the decision lives only in memory or urgency. Write the job-related standard before evaluating a person.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“Set Fair Selection Criteria,” the written record should make those five points visible without exaggeration or labels.</w:t>
      </w:r>
    </w:p>
    <w:p>
      <w:pPr>
        <w:pStyle w:val="Heading2"/>
      </w:pPr>
      <w:r>
        <w:t>Care-first lens</w:t>
      </w:r>
    </w:p>
    <w:p>
      <w:pPr>
        <w:spacing w:after="140" w:line="257" w:lineRule="auto"/>
      </w:pPr>
      <w:r>
        <w:t>Choose observable job-related criteria before reviewing candidates.</w:t>
      </w:r>
    </w:p>
    <w:p>
      <w:pPr>
        <w:pStyle w:val="Heading2"/>
      </w:pPr>
      <w:r>
        <w:t>Manager warning</w:t>
      </w:r>
    </w:p>
    <w:p>
      <w:pPr>
        <w:spacing w:after="140" w:line="257" w:lineRule="auto"/>
      </w:pPr>
      <w:r>
        <w:t>Do not add or change criteria after a preferred candidate appears.</w:t>
      </w:r>
    </w:p>
    <w:p>
      <w:r>
        <w:br w:type="page"/>
      </w:r>
    </w:p>
    <w:p>
      <w:pPr>
        <w:pStyle w:val="Heading1"/>
      </w:pPr>
      <w:r>
        <w:t>Chapter 7 Field Guide  ....  28</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Which standards are necessary and consistently defensible?</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Separate required, preferred, trainable, and irrelevant criteria.</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Second Chance</w:t>
      </w:r>
    </w:p>
    <w:p>
      <w:pPr>
        <w:spacing w:after="140" w:line="257" w:lineRule="auto"/>
      </w:pPr>
      <w:r>
        <w:rPr>
          <w:rFonts w:ascii="Arial" w:hAnsi="Arial"/>
          <w:b w:val="0"/>
          <w:i w:val="0"/>
          <w:color w:val="1F1F1F"/>
          <w:sz w:val="22"/>
        </w:rPr>
        <w:t>A candidate owns a prior failure and explains specific correction and learning.</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7.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7 Action Record  ....  28</w:t>
      </w:r>
    </w:p>
    <w:p>
      <w:pPr>
        <w:spacing w:after="140" w:line="257" w:lineRule="auto"/>
      </w:pPr>
      <w:r>
        <w:rPr>
          <w:rFonts w:ascii="Arial" w:hAnsi="Arial"/>
          <w:b w:val="0"/>
          <w:i w:val="0"/>
          <w:color w:val="1F1F1F"/>
          <w:sz w:val="19"/>
        </w:rPr>
        <w:t>Complete this page for one real decision involving “Set Fair Selection Criteria.”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8</w:t>
      </w:r>
    </w:p>
    <w:p>
      <w:pPr>
        <w:pStyle w:val="Heading1"/>
      </w:pPr>
      <w:r>
        <w:t>Tell the Truth in the Job Posting</w:t>
      </w:r>
    </w:p>
    <w:p>
      <w:pPr>
        <w:spacing w:after="140" w:line="257" w:lineRule="auto"/>
      </w:pPr>
      <w:r>
        <w:rPr>
          <w:rFonts w:ascii="Arial" w:hAnsi="Arial"/>
          <w:b w:val="0"/>
          <w:i w:val="0"/>
          <w:color w:val="1F1F1F"/>
          <w:sz w:val="22"/>
        </w:rPr>
        <w:t>Write a realistic invitation that does not hide workload, schedule, expectations, pay process, or working conditions.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do we attract the right applicants without overselling the job?</w:t>
            </w:r>
          </w:p>
        </w:tc>
      </w:tr>
    </w:tbl>
    <w:p>
      <w:pPr>
        <w:pStyle w:val="Heading2"/>
      </w:pPr>
      <w:r>
        <w:t>Why this chapter matters</w:t>
      </w:r>
    </w:p>
    <w:p>
      <w:pPr>
        <w:spacing w:after="140" w:line="257" w:lineRule="auto"/>
      </w:pPr>
      <w:r>
        <w:rPr>
          <w:rFonts w:ascii="Arial" w:hAnsi="Arial"/>
          <w:b w:val="0"/>
          <w:i w:val="0"/>
          <w:color w:val="1F1F1F"/>
          <w:sz w:val="20"/>
        </w:rPr>
        <w:t>In restaurant operations, role and process design becomes unreliable when the decision lives only in memory or urgency. Write the job-related standard before evaluating a person.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“Tell the Truth in the Job Posting,” the written record should make those five points visible without exaggeration or labels.</w:t>
      </w:r>
    </w:p>
    <w:p>
      <w:pPr>
        <w:pStyle w:val="Heading2"/>
      </w:pPr>
      <w:r>
        <w:t>Care-first lens</w:t>
      </w:r>
    </w:p>
    <w:p>
      <w:pPr>
        <w:spacing w:after="140" w:line="257" w:lineRule="auto"/>
      </w:pPr>
      <w:r>
        <w:t>Describe the schedule, physical requirements, pay process, and working conditions honestly.</w:t>
      </w:r>
    </w:p>
    <w:p>
      <w:pPr>
        <w:pStyle w:val="Heading2"/>
      </w:pPr>
      <w:r>
        <w:t>Manager warning</w:t>
      </w:r>
    </w:p>
    <w:p>
      <w:pPr>
        <w:spacing w:after="140" w:line="257" w:lineRule="auto"/>
      </w:pPr>
      <w:r>
        <w:t>Do not use vague promises to solve a recruiting shortage.</w:t>
      </w:r>
    </w:p>
    <w:p>
      <w:r>
        <w:br w:type="page"/>
      </w:r>
    </w:p>
    <w:p>
      <w:pPr>
        <w:pStyle w:val="Heading1"/>
      </w:pPr>
      <w:r>
        <w:t>Chapter 8 Field Guide  ....  32</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do we attract the right applicants without overselling the job?</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Write a realistic invitation that does not hide workload, schedule, expectations, pay process, or working conditions.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Background Concern</w:t>
      </w:r>
    </w:p>
    <w:p>
      <w:pPr>
        <w:spacing w:after="140" w:line="257" w:lineRule="auto"/>
      </w:pPr>
      <w:r>
        <w:rPr>
          <w:rFonts w:ascii="Arial" w:hAnsi="Arial"/>
          <w:b w:val="0"/>
          <w:i w:val="0"/>
          <w:color w:val="1F1F1F"/>
          <w:sz w:val="22"/>
        </w:rPr>
        <w:t>Information appears that may be inaccurate, irrelevant, outdated, or legally restricted.</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8.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8 Action Record  ....  32</w:t>
      </w:r>
    </w:p>
    <w:p>
      <w:pPr>
        <w:spacing w:after="140" w:line="257" w:lineRule="auto"/>
      </w:pPr>
      <w:r>
        <w:rPr>
          <w:rFonts w:ascii="Arial" w:hAnsi="Arial"/>
          <w:b w:val="0"/>
          <w:i w:val="0"/>
          <w:color w:val="1F1F1F"/>
          <w:sz w:val="19"/>
        </w:rPr>
        <w:t>Complete this page for one real decision involving “Tell the Truth in the Job Posting.”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9</w:t>
      </w:r>
    </w:p>
    <w:p>
      <w:pPr>
        <w:pStyle w:val="Heading1"/>
      </w:pPr>
      <w:r>
        <w:t>Review Applications Consistently</w:t>
      </w:r>
    </w:p>
    <w:p>
      <w:pPr>
        <w:spacing w:after="140" w:line="257" w:lineRule="auto"/>
      </w:pPr>
      <w:r>
        <w:rPr>
          <w:rFonts w:ascii="Arial" w:hAnsi="Arial"/>
          <w:b w:val="0"/>
          <w:i w:val="0"/>
          <w:color w:val="1F1F1F"/>
          <w:sz w:val="22"/>
        </w:rPr>
        <w:t>Use the same job-related screening standard and document unresolved questions.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do we decide who receives an interview?</w:t>
            </w:r>
          </w:p>
        </w:tc>
      </w:tr>
    </w:tbl>
    <w:p>
      <w:pPr>
        <w:pStyle w:val="Heading2"/>
      </w:pPr>
      <w:r>
        <w:t>Why this chapter matters</w:t>
      </w:r>
    </w:p>
    <w:p>
      <w:pPr>
        <w:spacing w:after="140" w:line="257" w:lineRule="auto"/>
      </w:pPr>
      <w:r>
        <w:rPr>
          <w:rFonts w:ascii="Arial" w:hAnsi="Arial"/>
          <w:b w:val="0"/>
          <w:i w:val="0"/>
          <w:color w:val="1F1F1F"/>
          <w:sz w:val="20"/>
        </w:rPr>
        <w:t>In restaurant operations, role and process design becomes unreliable when the decision lives only in memory or urgency. Write the job-related standard before evaluating a person.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“Review Applications Consistently,” the written record should make those five points visible without exaggeration or labels.</w:t>
      </w:r>
    </w:p>
    <w:p>
      <w:pPr>
        <w:pStyle w:val="Heading2"/>
      </w:pPr>
      <w:r>
        <w:t>Care-first lens</w:t>
      </w:r>
    </w:p>
    <w:p>
      <w:pPr>
        <w:spacing w:after="140" w:line="257" w:lineRule="auto"/>
      </w:pPr>
      <w:r>
        <w:t>Use the same initial review standard for every applicant to the same role.</w:t>
      </w:r>
    </w:p>
    <w:p>
      <w:pPr>
        <w:pStyle w:val="Heading2"/>
      </w:pPr>
      <w:r>
        <w:t>Manager warning</w:t>
      </w:r>
    </w:p>
    <w:p>
      <w:pPr>
        <w:spacing w:after="140" w:line="257" w:lineRule="auto"/>
      </w:pPr>
      <w:r>
        <w:t>Do not advance or reject someone on a name, photo, gap, or hunch without job-related evidence.</w:t>
      </w:r>
    </w:p>
    <w:p>
      <w:r>
        <w:br w:type="page"/>
      </w:r>
    </w:p>
    <w:p>
      <w:pPr>
        <w:pStyle w:val="Heading1"/>
      </w:pPr>
      <w:r>
        <w:t>Chapter 9 Field Guide  ....  36</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do we decide who receives an interview?</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the same job-related screening standard and document unresolved questions.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First Week Silence</w:t>
      </w:r>
    </w:p>
    <w:p>
      <w:pPr>
        <w:spacing w:after="140" w:line="257" w:lineRule="auto"/>
      </w:pPr>
      <w:r>
        <w:rPr>
          <w:rFonts w:ascii="Arial" w:hAnsi="Arial"/>
          <w:b w:val="0"/>
          <w:i w:val="0"/>
          <w:color w:val="1F1F1F"/>
          <w:sz w:val="22"/>
        </w:rPr>
        <w:t>A new hire says everything is fine while training records show missed practice and unclear expectations.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9.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9 Action Record  ....  36</w:t>
      </w:r>
    </w:p>
    <w:p>
      <w:pPr>
        <w:spacing w:after="140" w:line="257" w:lineRule="auto"/>
      </w:pPr>
      <w:r>
        <w:rPr>
          <w:rFonts w:ascii="Arial" w:hAnsi="Arial"/>
          <w:b w:val="0"/>
          <w:i w:val="0"/>
          <w:color w:val="1F1F1F"/>
          <w:sz w:val="19"/>
        </w:rPr>
        <w:t>Complete this page for one real decision involving “Review Applications Consistently.”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III</w:t>
      </w:r>
    </w:p>
    <w:p>
      <w:pPr>
        <w:pStyle w:val="Heading1"/>
      </w:pPr>
      <w:r>
        <w:t>Interview for Evidence</w:t>
      </w:r>
    </w:p>
    <w:p>
      <w:pPr>
        <w:spacing w:after="140" w:line="257" w:lineRule="auto"/>
      </w:pPr>
      <w:r>
        <w:rPr>
          <w:rFonts w:ascii="Arial" w:hAnsi="Arial"/>
          <w:b w:val="0"/>
          <w:i w:val="0"/>
          <w:color w:val="1F1F1F"/>
          <w:sz w:val="22"/>
        </w:rPr>
        <w:t>Teach one structured, respectful interview process that looks for job-related evidence of care, reliability, coachability, honesty, and judgment.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Ask comparable questions, probe for facts, and record evidence without diagnosing personality.</w:t>
            </w:r>
          </w:p>
        </w:tc>
      </w:tr>
    </w:tbl>
    <w:p>
      <w:r>
        <w:br w:type="page"/>
      </w:r>
    </w:p>
    <w:p>
      <w:pPr>
        <w:pStyle w:val="Heading1"/>
      </w:pPr>
      <w:r>
        <w:t>Chapter 10</w:t>
      </w:r>
    </w:p>
    <w:p>
      <w:pPr>
        <w:pStyle w:val="Heading1"/>
      </w:pPr>
      <w:r>
        <w:t>Prepare the Interview</w:t>
      </w:r>
    </w:p>
    <w:p>
      <w:pPr>
        <w:spacing w:after="140" w:line="257" w:lineRule="auto"/>
      </w:pPr>
      <w:r>
        <w:rPr>
          <w:rFonts w:ascii="Arial" w:hAnsi="Arial"/>
          <w:b w:val="0"/>
          <w:i w:val="0"/>
          <w:color w:val="1F1F1F"/>
          <w:sz w:val="22"/>
        </w:rPr>
        <w:t>Set the interviewer, questions, scoring anchors, time, privacy, accommodations route, and evidence standard.</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must be ready before the candidate arrives?</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“Prepare the Interview,” the written record should make those five points visible without exaggeration or labels.</w:t>
      </w:r>
    </w:p>
    <w:p>
      <w:pPr>
        <w:pStyle w:val="Heading2"/>
      </w:pPr>
      <w:r>
        <w:t>Care-first lens</w:t>
      </w:r>
    </w:p>
    <w:p>
      <w:pPr>
        <w:spacing w:after="140" w:line="257" w:lineRule="auto"/>
      </w:pPr>
      <w:r>
        <w:t>Prepare role-specific questions, an evidence sheet, and a realistic interview order.</w:t>
      </w:r>
    </w:p>
    <w:p>
      <w:pPr>
        <w:pStyle w:val="Heading2"/>
      </w:pPr>
      <w:r>
        <w:t>Manager warning</w:t>
      </w:r>
    </w:p>
    <w:p>
      <w:pPr>
        <w:spacing w:after="140" w:line="257" w:lineRule="auto"/>
      </w:pPr>
      <w:r>
        <w:t>Do not improvise the process differently for people you already know or prefer.</w:t>
      </w:r>
    </w:p>
    <w:p>
      <w:r>
        <w:br w:type="page"/>
      </w:r>
    </w:p>
    <w:p>
      <w:pPr>
        <w:pStyle w:val="Heading1"/>
      </w:pPr>
      <w:r>
        <w:t>Chapter 10 Field Guide  ....  41</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must be ready before the candidate arrives?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Set the interviewer, questions, scoring anchors, time, privacy, accommodations route, and evidence standard.</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Trainer Problem</w:t>
      </w:r>
    </w:p>
    <w:p>
      <w:pPr>
        <w:spacing w:after="140" w:line="257" w:lineRule="auto"/>
      </w:pPr>
      <w:r>
        <w:rPr>
          <w:rFonts w:ascii="Arial" w:hAnsi="Arial"/>
          <w:b w:val="0"/>
          <w:i w:val="0"/>
          <w:color w:val="1F1F1F"/>
          <w:sz w:val="22"/>
        </w:rPr>
        <w:t>The new hire is blamed for slow progress, but the assigned trainer changes the standard each shift.</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10.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10 Action Record  ....  41</w:t>
      </w:r>
    </w:p>
    <w:p>
      <w:pPr>
        <w:spacing w:after="140" w:line="257" w:lineRule="auto"/>
      </w:pPr>
      <w:r>
        <w:rPr>
          <w:rFonts w:ascii="Arial" w:hAnsi="Arial"/>
          <w:b w:val="0"/>
          <w:i w:val="0"/>
          <w:color w:val="1F1F1F"/>
          <w:sz w:val="19"/>
        </w:rPr>
        <w:t>Complete this page for one real decision involving “Prepare the Interview.”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11</w:t>
      </w:r>
    </w:p>
    <w:p>
      <w:pPr>
        <w:pStyle w:val="Heading1"/>
      </w:pPr>
      <w:r>
        <w:t>Open with Respect and Clarity</w:t>
      </w:r>
    </w:p>
    <w:p>
      <w:pPr>
        <w:spacing w:after="140" w:line="257" w:lineRule="auto"/>
      </w:pPr>
      <w:r>
        <w:rPr>
          <w:rFonts w:ascii="Arial" w:hAnsi="Arial"/>
          <w:b w:val="0"/>
          <w:i w:val="0"/>
          <w:color w:val="1F1F1F"/>
          <w:sz w:val="22"/>
        </w:rPr>
        <w:t>Explain the process, reduce avoidable anxiety, and establish an honest two-way conversation.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should a professional restaurant interview begin?</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“Open with Respect and Clarity,” the written record should make those five points visible without exaggeration or labels.</w:t>
      </w:r>
    </w:p>
    <w:p>
      <w:pPr>
        <w:pStyle w:val="Heading2"/>
      </w:pPr>
      <w:r>
        <w:t>Care-first lens</w:t>
      </w:r>
    </w:p>
    <w:p>
      <w:pPr>
        <w:spacing w:after="140" w:line="257" w:lineRule="auto"/>
      </w:pPr>
      <w:r>
        <w:t>Explain the role, the interview purpose, and the next step so the candidate can respond fairly.</w:t>
      </w:r>
    </w:p>
    <w:p>
      <w:pPr>
        <w:pStyle w:val="Heading2"/>
      </w:pPr>
      <w:r>
        <w:t>Manager warning</w:t>
      </w:r>
    </w:p>
    <w:p>
      <w:pPr>
        <w:spacing w:after="140" w:line="257" w:lineRule="auto"/>
      </w:pPr>
      <w:r>
        <w:t>Do not create pressure or confusion to see whether someone can guess what you want.</w:t>
      </w:r>
    </w:p>
    <w:p>
      <w:r>
        <w:br w:type="page"/>
      </w:r>
    </w:p>
    <w:p>
      <w:pPr>
        <w:pStyle w:val="Heading1"/>
      </w:pPr>
      <w:r>
        <w:t>Chapter 11 Field Guide  ....  45</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should a professional restaurant interview begin?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Explain the process, reduce avoidable anxiety, and establish an honest two-way conversation.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Reliable Employee at Risk</w:t>
      </w:r>
    </w:p>
    <w:p>
      <w:pPr>
        <w:spacing w:after="140" w:line="257" w:lineRule="auto"/>
      </w:pPr>
      <w:r>
        <w:rPr>
          <w:rFonts w:ascii="Arial" w:hAnsi="Arial"/>
          <w:b w:val="0"/>
          <w:i w:val="0"/>
          <w:color w:val="1F1F1F"/>
          <w:sz w:val="22"/>
        </w:rPr>
        <w:t>A dependable employee is quietly considering leaving because of scheduling and manager behavior.</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11.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11 Action Record  ....  45</w:t>
      </w:r>
    </w:p>
    <w:p>
      <w:pPr>
        <w:spacing w:after="140" w:line="257" w:lineRule="auto"/>
      </w:pPr>
      <w:r>
        <w:rPr>
          <w:rFonts w:ascii="Arial" w:hAnsi="Arial"/>
          <w:b w:val="0"/>
          <w:i w:val="0"/>
          <w:color w:val="1F1F1F"/>
          <w:sz w:val="19"/>
        </w:rPr>
        <w:t>Complete this page for one real decision involving “Open with Respect and Clarity.”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12</w:t>
      </w:r>
    </w:p>
    <w:p>
      <w:pPr>
        <w:pStyle w:val="Heading1"/>
      </w:pPr>
      <w:r>
        <w:t>Questions That Reveal Care</w:t>
      </w:r>
    </w:p>
    <w:p>
      <w:pPr>
        <w:spacing w:after="140" w:line="257" w:lineRule="auto"/>
      </w:pPr>
      <w:r>
        <w:rPr>
          <w:rFonts w:ascii="Arial" w:hAnsi="Arial"/>
          <w:b w:val="0"/>
          <w:i w:val="0"/>
          <w:color w:val="1F1F1F"/>
          <w:sz w:val="22"/>
        </w:rPr>
        <w:t>Use past-behavior and scenario questions tied to guests, coworkers, cleanliness, safety, and follow-through.</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evidence shows that a candidate notices and responds to impact?</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“Questions That Reveal Care,” the written record should make those five points visible without exaggeration or labels.</w:t>
      </w:r>
    </w:p>
    <w:p>
      <w:pPr>
        <w:pStyle w:val="Heading2"/>
      </w:pPr>
      <w:r>
        <w:t>Care-first lens</w:t>
      </w:r>
    </w:p>
    <w:p>
      <w:pPr>
        <w:spacing w:after="140" w:line="257" w:lineRule="auto"/>
      </w:pPr>
      <w:r>
        <w:t>Ask for concrete examples of protecting a guest, coworker, product, safety practice, or standard.</w:t>
      </w:r>
    </w:p>
    <w:p>
      <w:pPr>
        <w:pStyle w:val="Heading2"/>
      </w:pPr>
      <w:r>
        <w:t>Manager warning</w:t>
      </w:r>
    </w:p>
    <w:p>
      <w:pPr>
        <w:spacing w:after="140" w:line="257" w:lineRule="auto"/>
      </w:pPr>
      <w:r>
        <w:t>Do not accept a general claim of caring without a situation, action, and result.</w:t>
      </w:r>
    </w:p>
    <w:p>
      <w:r>
        <w:br w:type="page"/>
      </w:r>
    </w:p>
    <w:p>
      <w:pPr>
        <w:pStyle w:val="Heading1"/>
      </w:pPr>
      <w:r>
        <w:t>Chapter 12 Field Guide  ....  49</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evidence shows that a candidate notices and responds to impact?</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past-behavior and scenario questions tied to guests, coworkers, cleanliness, safety, and follow-through.</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Exit Pattern</w:t>
      </w:r>
    </w:p>
    <w:p>
      <w:pPr>
        <w:spacing w:after="140" w:line="257" w:lineRule="auto"/>
      </w:pPr>
      <w:r>
        <w:rPr>
          <w:rFonts w:ascii="Arial" w:hAnsi="Arial"/>
          <w:b w:val="0"/>
          <w:i w:val="0"/>
          <w:color w:val="1F1F1F"/>
          <w:sz w:val="22"/>
        </w:rPr>
        <w:t>Three recent employees cite different immediate reasons but share one operational condition.</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12.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12 Action Record  ....  49</w:t>
      </w:r>
    </w:p>
    <w:p>
      <w:pPr>
        <w:spacing w:after="140" w:line="257" w:lineRule="auto"/>
      </w:pPr>
      <w:r>
        <w:rPr>
          <w:rFonts w:ascii="Arial" w:hAnsi="Arial"/>
          <w:b w:val="0"/>
          <w:i w:val="0"/>
          <w:color w:val="1F1F1F"/>
          <w:sz w:val="19"/>
        </w:rPr>
        <w:t>Complete this page for one real decision involving “Questions That Reveal Care.”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13</w:t>
      </w:r>
    </w:p>
    <w:p>
      <w:pPr>
        <w:pStyle w:val="Heading1"/>
      </w:pPr>
      <w:r>
        <w:t>Questions That Reveal Reliability</w:t>
      </w:r>
    </w:p>
    <w:p>
      <w:pPr>
        <w:spacing w:after="140" w:line="257" w:lineRule="auto"/>
      </w:pPr>
      <w:r>
        <w:rPr>
          <w:rFonts w:ascii="Arial" w:hAnsi="Arial"/>
          <w:b w:val="0"/>
          <w:i w:val="0"/>
          <w:color w:val="1F1F1F"/>
          <w:sz w:val="22"/>
        </w:rPr>
        <w:t>Examine commitments, attendance reasoning, preparation, communication, and recovery after a miss.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evidence suggests the person can be counted on?</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“Questions That Reveal Reliability,” the written record should make those five points visible without exaggeration or labels.</w:t>
      </w:r>
    </w:p>
    <w:p>
      <w:pPr>
        <w:pStyle w:val="Heading2"/>
      </w:pPr>
      <w:r>
        <w:t>Care-first lens</w:t>
      </w:r>
    </w:p>
    <w:p>
      <w:pPr>
        <w:spacing w:after="140" w:line="257" w:lineRule="auto"/>
      </w:pPr>
      <w:r>
        <w:t>Ask how the candidate planned, communicated, and recovered when attendance or commitments were at risk.</w:t>
      </w:r>
    </w:p>
    <w:p>
      <w:pPr>
        <w:pStyle w:val="Heading2"/>
      </w:pPr>
      <w:r>
        <w:t>Manager warning</w:t>
      </w:r>
    </w:p>
    <w:p>
      <w:pPr>
        <w:spacing w:after="140" w:line="257" w:lineRule="auto"/>
      </w:pPr>
      <w:r>
        <w:t>Do not treat confidence about reliability as evidence of reliability.</w:t>
      </w:r>
    </w:p>
    <w:p>
      <w:r>
        <w:br w:type="page"/>
      </w:r>
    </w:p>
    <w:p>
      <w:pPr>
        <w:pStyle w:val="Heading1"/>
      </w:pPr>
      <w:r>
        <w:t>Chapter 13 Field Guide  ....  53</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evidence suggests the person can be counted on?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Examine commitments, attendance reasoning, preparation, communication, and recovery after a miss.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Favorite Candidate</w:t>
      </w:r>
    </w:p>
    <w:p>
      <w:pPr>
        <w:spacing w:after="140" w:line="257" w:lineRule="auto"/>
      </w:pPr>
      <w:r>
        <w:rPr>
          <w:rFonts w:ascii="Arial" w:hAnsi="Arial"/>
          <w:b w:val="0"/>
          <w:i w:val="0"/>
          <w:color w:val="1F1F1F"/>
          <w:sz w:val="22"/>
        </w:rPr>
        <w:t>One interviewer says the candidate “felt right” while the scorecard evidence is weaker.</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13.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13 Action Record  ....  53</w:t>
      </w:r>
    </w:p>
    <w:p>
      <w:pPr>
        <w:spacing w:after="140" w:line="257" w:lineRule="auto"/>
      </w:pPr>
      <w:r>
        <w:rPr>
          <w:rFonts w:ascii="Arial" w:hAnsi="Arial"/>
          <w:b w:val="0"/>
          <w:i w:val="0"/>
          <w:color w:val="1F1F1F"/>
          <w:sz w:val="19"/>
        </w:rPr>
        <w:t>Complete this page for one real decision involving “Questions That Reveal Reliability.”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14</w:t>
      </w:r>
    </w:p>
    <w:p>
      <w:pPr>
        <w:pStyle w:val="Heading1"/>
      </w:pPr>
      <w:r>
        <w:t>Questions That Reveal Coachability</w:t>
      </w:r>
    </w:p>
    <w:p>
      <w:pPr>
        <w:spacing w:after="140" w:line="257" w:lineRule="auto"/>
      </w:pPr>
      <w:r>
        <w:rPr>
          <w:rFonts w:ascii="Arial" w:hAnsi="Arial"/>
          <w:b w:val="0"/>
          <w:i w:val="0"/>
          <w:color w:val="1F1F1F"/>
          <w:sz w:val="22"/>
        </w:rPr>
        <w:t>Examine feedback, learning, correction, questions, practice, and response to standards.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does the candidate react when they do not know or get something wrong?</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“Questions That Reveal Coachability,” the written record should make those five points visible without exaggeration or labels.</w:t>
      </w:r>
    </w:p>
    <w:p>
      <w:pPr>
        <w:pStyle w:val="Heading2"/>
      </w:pPr>
      <w:r>
        <w:t>Care-first lens</w:t>
      </w:r>
    </w:p>
    <w:p>
      <w:pPr>
        <w:spacing w:after="140" w:line="257" w:lineRule="auto"/>
      </w:pPr>
      <w:r>
        <w:t>Ask for a real correction, how it was received, and what changed afterward.</w:t>
      </w:r>
    </w:p>
    <w:p>
      <w:pPr>
        <w:pStyle w:val="Heading2"/>
      </w:pPr>
      <w:r>
        <w:t>Manager warning</w:t>
      </w:r>
    </w:p>
    <w:p>
      <w:pPr>
        <w:spacing w:after="140" w:line="257" w:lineRule="auto"/>
      </w:pPr>
      <w:r>
        <w:t>Do not mistake agreement in the interview for willingness to improve at work.</w:t>
      </w:r>
    </w:p>
    <w:p>
      <w:r>
        <w:br w:type="page"/>
      </w:r>
    </w:p>
    <w:p>
      <w:pPr>
        <w:pStyle w:val="Heading1"/>
      </w:pPr>
      <w:r>
        <w:t>Chapter 14 Field Guide  ....  57</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does the candidate react when they do not know or get something wrong?</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Examine feedback, learning, correction, questions, practice, and response to standards.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Concern about Retaliation</w:t>
      </w:r>
    </w:p>
    <w:p>
      <w:pPr>
        <w:spacing w:after="140" w:line="257" w:lineRule="auto"/>
      </w:pPr>
      <w:r>
        <w:rPr>
          <w:rFonts w:ascii="Arial" w:hAnsi="Arial"/>
          <w:b w:val="0"/>
          <w:i w:val="0"/>
          <w:color w:val="1F1F1F"/>
          <w:sz w:val="22"/>
        </w:rPr>
        <w:t>An employee reports a problem but fears reduced hours or worse assignments.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14.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14 Action Record  ....  57</w:t>
      </w:r>
    </w:p>
    <w:p>
      <w:pPr>
        <w:spacing w:after="140" w:line="257" w:lineRule="auto"/>
      </w:pPr>
      <w:r>
        <w:rPr>
          <w:rFonts w:ascii="Arial" w:hAnsi="Arial"/>
          <w:b w:val="0"/>
          <w:i w:val="0"/>
          <w:color w:val="1F1F1F"/>
          <w:sz w:val="19"/>
        </w:rPr>
        <w:t>Complete this page for one real decision involving “Questions That Reveal Coachability.”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15</w:t>
      </w:r>
    </w:p>
    <w:p>
      <w:pPr>
        <w:pStyle w:val="Heading1"/>
      </w:pPr>
      <w:r>
        <w:t>Questions That Reveal Honesty and Judgment</w:t>
      </w:r>
    </w:p>
    <w:p>
      <w:pPr>
        <w:spacing w:after="140" w:line="257" w:lineRule="auto"/>
      </w:pPr>
      <w:r>
        <w:rPr>
          <w:rFonts w:ascii="Arial" w:hAnsi="Arial"/>
          <w:b w:val="0"/>
          <w:i w:val="0"/>
          <w:color w:val="1F1F1F"/>
          <w:sz w:val="22"/>
        </w:rPr>
        <w:t>Explore ownership, difficult choices, mistakes, pressure, and speaking up without demanding rehearsed perfection.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Will the person tell the truth and use judgment under pressure?</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“Questions That Reveal Honesty and Judgment,” the written record should make those five points visible without exaggeration or labels.</w:t>
      </w:r>
    </w:p>
    <w:p>
      <w:pPr>
        <w:pStyle w:val="Heading2"/>
      </w:pPr>
      <w:r>
        <w:t>Care-first lens</w:t>
      </w:r>
    </w:p>
    <w:p>
      <w:pPr>
        <w:spacing w:after="140" w:line="257" w:lineRule="auto"/>
      </w:pPr>
      <w:r>
        <w:t>Ask how the candidate handled an error, conflict, or choice with competing responsibilities.</w:t>
      </w:r>
    </w:p>
    <w:p>
      <w:pPr>
        <w:pStyle w:val="Heading2"/>
      </w:pPr>
      <w:r>
        <w:t>Manager warning</w:t>
      </w:r>
    </w:p>
    <w:p>
      <w:pPr>
        <w:spacing w:after="140" w:line="257" w:lineRule="auto"/>
      </w:pPr>
      <w:r>
        <w:t>Do not reward an answer that protects image while avoiding responsibility.</w:t>
      </w:r>
    </w:p>
    <w:p>
      <w:r>
        <w:br w:type="page"/>
      </w:r>
    </w:p>
    <w:p>
      <w:pPr>
        <w:pStyle w:val="Heading1"/>
      </w:pPr>
      <w:r>
        <w:t>Chapter 15 Field Guide  ....  61</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Will the person tell the truth and use judgment under pressure?</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Explore ownership, difficult choices, mistakes, pressure, and speaking up without demanding rehearsed perfection.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Good Person in the Wrong Role</w:t>
      </w:r>
    </w:p>
    <w:p>
      <w:pPr>
        <w:spacing w:after="140" w:line="257" w:lineRule="auto"/>
      </w:pPr>
      <w:r>
        <w:rPr>
          <w:rFonts w:ascii="Arial" w:hAnsi="Arial"/>
          <w:b w:val="0"/>
          <w:i w:val="0"/>
          <w:color w:val="1F1F1F"/>
          <w:sz w:val="22"/>
        </w:rPr>
        <w:t>The employee demonstrates care and effort but may not match the role’s actual conditions or schedule.</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15.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15 Action Record  ....  61</w:t>
      </w:r>
    </w:p>
    <w:p>
      <w:pPr>
        <w:spacing w:after="140" w:line="257" w:lineRule="auto"/>
      </w:pPr>
      <w:r>
        <w:rPr>
          <w:rFonts w:ascii="Arial" w:hAnsi="Arial"/>
          <w:b w:val="0"/>
          <w:i w:val="0"/>
          <w:color w:val="1F1F1F"/>
          <w:sz w:val="19"/>
        </w:rPr>
        <w:t>Complete this page for one real decision involving “Questions That Reveal Honesty and Judgment.”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16</w:t>
      </w:r>
    </w:p>
    <w:p>
      <w:pPr>
        <w:pStyle w:val="Heading1"/>
      </w:pPr>
      <w:r>
        <w:t>Give a Realistic Job Preview</w:t>
      </w:r>
    </w:p>
    <w:p>
      <w:pPr>
        <w:spacing w:after="140" w:line="257" w:lineRule="auto"/>
      </w:pPr>
      <w:r>
        <w:rPr>
          <w:rFonts w:ascii="Arial" w:hAnsi="Arial"/>
          <w:b w:val="0"/>
          <w:i w:val="0"/>
          <w:color w:val="1F1F1F"/>
          <w:sz w:val="22"/>
        </w:rPr>
        <w:t>Let the candidate evaluate the restaurant, schedule, pace, expectations, and support before accepting.</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Does the candidate understand what they are joining?</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“Give a Realistic Job Preview,” the written record should make those five points visible without exaggeration or labels.</w:t>
      </w:r>
    </w:p>
    <w:p>
      <w:pPr>
        <w:pStyle w:val="Heading2"/>
      </w:pPr>
      <w:r>
        <w:t>Care-first lens</w:t>
      </w:r>
    </w:p>
    <w:p>
      <w:pPr>
        <w:spacing w:after="140" w:line="257" w:lineRule="auto"/>
      </w:pPr>
      <w:r>
        <w:t>Show the pace, standards, schedule realities, and difficult parts before the offer.</w:t>
      </w:r>
    </w:p>
    <w:p>
      <w:pPr>
        <w:pStyle w:val="Heading2"/>
      </w:pPr>
      <w:r>
        <w:t>Manager warning</w:t>
      </w:r>
    </w:p>
    <w:p>
      <w:pPr>
        <w:spacing w:after="140" w:line="257" w:lineRule="auto"/>
      </w:pPr>
      <w:r>
        <w:t>Do not postpone the hard truth until the first shift.</w:t>
      </w:r>
    </w:p>
    <w:p>
      <w:r>
        <w:br w:type="page"/>
      </w:r>
    </w:p>
    <w:p>
      <w:pPr>
        <w:pStyle w:val="Heading1"/>
      </w:pPr>
      <w:r>
        <w:t>Chapter 16 Field Guide  ....  65</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Does the candidate understand what they are joining?</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Let the candidate evaluate the restaurant, schedule, pace, expectations, and support before accepting.</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Manager Who Skips Check Ins</w:t>
      </w:r>
    </w:p>
    <w:p>
      <w:pPr>
        <w:spacing w:after="140" w:line="257" w:lineRule="auto"/>
      </w:pPr>
      <w:r>
        <w:rPr>
          <w:rFonts w:ascii="Arial" w:hAnsi="Arial"/>
          <w:b w:val="0"/>
          <w:i w:val="0"/>
          <w:color w:val="1F1F1F"/>
          <w:sz w:val="22"/>
        </w:rPr>
        <w:t>New-hire meetings are marked complete without meaningful notes or follow-through.</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16.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16 Action Record  ....  65</w:t>
      </w:r>
    </w:p>
    <w:p>
      <w:pPr>
        <w:spacing w:after="140" w:line="257" w:lineRule="auto"/>
      </w:pPr>
      <w:r>
        <w:rPr>
          <w:rFonts w:ascii="Arial" w:hAnsi="Arial"/>
          <w:b w:val="0"/>
          <w:i w:val="0"/>
          <w:color w:val="1F1F1F"/>
          <w:sz w:val="19"/>
        </w:rPr>
        <w:t>Complete this page for one real decision involving “Give a Realistic Job Preview.”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17</w:t>
      </w:r>
    </w:p>
    <w:p>
      <w:pPr>
        <w:pStyle w:val="Heading1"/>
      </w:pPr>
      <w:r>
        <w:t>Stay Inside Lawful and Ethical Boundaries</w:t>
      </w:r>
    </w:p>
    <w:p>
      <w:pPr>
        <w:spacing w:after="140" w:line="257" w:lineRule="auto"/>
      </w:pPr>
      <w:r>
        <w:rPr>
          <w:rFonts w:ascii="Arial" w:hAnsi="Arial"/>
          <w:b w:val="0"/>
          <w:i w:val="0"/>
          <w:color w:val="1F1F1F"/>
          <w:sz w:val="22"/>
        </w:rPr>
        <w:t>Teach prohibited shortcuts, job-related questioning, consistency, privacy, accommodations routing, and escalation.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Which questions and decision methods create unnecessary risk or unfairness?</w:t>
            </w:r>
          </w:p>
        </w:tc>
      </w:tr>
    </w:tbl>
    <w:p>
      <w:pPr>
        <w:pStyle w:val="Heading2"/>
      </w:pPr>
      <w:r>
        <w:t>Why this chapter matters</w:t>
      </w:r>
    </w:p>
    <w:p>
      <w:pPr/>
      <w:r>
        <w:t>Hiring discipline begins before the interview. Use only job-related standards, apply them consistently, protect applicant information, and route legal questions to the person authorized to handle them. A candidate can be evaluated on documented ability to perform the stated role, availability when it is genuinely required, and observable work-related evidence. They must not be evaluated through assumptions about a protected characteristic, medical condition, family situation, accent, appearance, or personal similarity to the interviewer.</w:t>
      </w:r>
    </w:p>
    <w:p>
      <w:pPr>
        <w:pStyle w:val="Heading2"/>
      </w:pPr>
      <w:r>
        <w:t>Federal guardrails to apply</w:t>
      </w:r>
    </w:p>
    <w:p>
      <w:pPr/>
      <w:r>
        <w:t>Federal equal-employment rules prohibit discrimination and retaliation in recruiting, advertising, applications, hiring, terms of employment, and training. Keep questions focused on the job and its essential requirements. Do not ask pre-offer disability or medical questions. Route a request for an accommodation promptly for authorized review. If a consumer-reporting company provides a background report, use the required notice, written permission, and applicable Fair Credit Reporting Act process before relying on it.</w:t>
      </w:r>
    </w:p>
    <w:p>
      <w:pPr>
        <w:pStyle w:val="Heading2"/>
      </w:pPr>
      <w:r>
        <w:t>Local authority still matters</w:t>
      </w:r>
    </w:p>
    <w:p>
      <w:pPr/>
      <w:r>
        <w:t>This workbook is not legal or HR advice. State, local, company, union, licensing, and industry requirements may add duties or stricter rules. When a question involves an accommodation, protected leave, wage and hour, background information, immigration documentation, safety certification, harassment, retaliation, or a possible legal claim, stop and route it to the owner, HR, qualified counsel, or the designated compliance authority.</w:t>
      </w:r>
    </w:p>
    <w:p>
      <w:pPr>
        <w:pStyle w:val="Heading2"/>
      </w:pPr>
      <w:r>
        <w:t>Care-first lens</w:t>
      </w:r>
    </w:p>
    <w:p>
      <w:pPr>
        <w:spacing w:after="140" w:line="257" w:lineRule="auto"/>
      </w:pPr>
      <w:r>
        <w:t>Use job-related questions, consistent standards, and prompt escalation for protected or regulated issues.</w:t>
      </w:r>
    </w:p>
    <w:p>
      <w:pPr>
        <w:pStyle w:val="Heading2"/>
      </w:pPr>
      <w:r>
        <w:t>Manager warning</w:t>
      </w:r>
    </w:p>
    <w:p>
      <w:pPr>
        <w:spacing w:after="140" w:line="257" w:lineRule="auto"/>
      </w:pPr>
      <w:r>
        <w:t>Do not let operational urgency turn a legal or accommodation question into a manager guess.</w:t>
      </w:r>
    </w:p>
    <w:p>
      <w:r>
        <w:br w:type="page"/>
      </w:r>
    </w:p>
    <w:p>
      <w:pPr>
        <w:pStyle w:val="Heading1"/>
      </w:pPr>
      <w:r>
        <w:t>Chapter 17 Field Guide  ....  69</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Which questions and decision methods create unnecessary risk or unfairness?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Teach prohibited shortcuts, job-related questioning, consistency, privacy, accommodations routing, and escalation.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Friday Night Vacancy</w:t>
      </w:r>
    </w:p>
    <w:p>
      <w:pPr>
        <w:spacing w:after="140" w:line="257" w:lineRule="auto"/>
      </w:pPr>
      <w:r>
        <w:rPr>
          <w:rFonts w:ascii="Arial" w:hAnsi="Arial"/>
          <w:b w:val="0"/>
          <w:i w:val="0"/>
          <w:color w:val="1F1F1F"/>
          <w:sz w:val="22"/>
        </w:rPr>
        <w:t>A manager wants to hire the first available applicant without a role-success profile.</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17.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17 Action Record  ....  69</w:t>
      </w:r>
    </w:p>
    <w:p>
      <w:pPr>
        <w:spacing w:after="140" w:line="257" w:lineRule="auto"/>
      </w:pPr>
      <w:r>
        <w:rPr>
          <w:rFonts w:ascii="Arial" w:hAnsi="Arial"/>
          <w:b w:val="0"/>
          <w:i w:val="0"/>
          <w:color w:val="1F1F1F"/>
          <w:sz w:val="19"/>
        </w:rPr>
        <w:t>Complete this page for one real decision involving “Stay Inside Lawful and Ethical Boundaries.”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18</w:t>
      </w:r>
    </w:p>
    <w:p>
      <w:pPr>
        <w:pStyle w:val="Heading1"/>
      </w:pPr>
      <w:r>
        <w:t>Check References and Background Information Carefully</w:t>
      </w:r>
    </w:p>
    <w:p>
      <w:pPr>
        <w:spacing w:after="140" w:line="257" w:lineRule="auto"/>
      </w:pPr>
      <w:r>
        <w:rPr>
          <w:rFonts w:ascii="Arial" w:hAnsi="Arial"/>
          <w:b w:val="0"/>
          <w:i w:val="0"/>
          <w:color w:val="1F1F1F"/>
          <w:sz w:val="22"/>
        </w:rPr>
        <w:t>Use authorization, relevance, consistency, documentation, and qualified review.</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do we verify information without turning suspicion into proof?</w:t>
            </w:r>
          </w:p>
        </w:tc>
      </w:tr>
    </w:tbl>
    <w:p>
      <w:pPr>
        <w:pStyle w:val="Heading2"/>
      </w:pPr>
      <w:r>
        <w:t>Why this chapter matters</w:t>
      </w:r>
    </w:p>
    <w:p>
      <w:pPr>
        <w:spacing w:after="140" w:line="257" w:lineRule="auto"/>
      </w:pPr>
      <w:r>
        <w:rPr>
          <w:rFonts w:ascii="Arial" w:hAnsi="Arial"/>
          <w:b w:val="0"/>
          <w:i w:val="0"/>
          <w:color w:val="1F1F1F"/>
          <w:sz w:val="20"/>
        </w:rPr>
        <w:t>In restaurant operations, interview evidence becomes unreliable when the decision lives only in memory or urgency. Ask comparable questions, probe for facts, and record evidence without diagnosing personality.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“Check References and Background Information Carefully,” the written record should make those five points visible without exaggeration or labels.</w:t>
      </w:r>
    </w:p>
    <w:p>
      <w:pPr>
        <w:pStyle w:val="Heading2"/>
      </w:pPr>
      <w:r>
        <w:t>Care-first lens</w:t>
      </w:r>
    </w:p>
    <w:p>
      <w:pPr>
        <w:spacing w:after="140" w:line="257" w:lineRule="auto"/>
      </w:pPr>
      <w:r>
        <w:t>Use an approved, consistent process and connect information to legitimate job requirements.</w:t>
      </w:r>
    </w:p>
    <w:p>
      <w:pPr>
        <w:pStyle w:val="Heading2"/>
      </w:pPr>
      <w:r>
        <w:t>Manager warning</w:t>
      </w:r>
    </w:p>
    <w:p>
      <w:pPr>
        <w:spacing w:after="140" w:line="257" w:lineRule="auto"/>
      </w:pPr>
      <w:r>
        <w:t>Do not make a background result or informal reference a shortcut around fair, authorized review.</w:t>
      </w:r>
    </w:p>
    <w:p>
      <w:r>
        <w:br w:type="page"/>
      </w:r>
    </w:p>
    <w:p>
      <w:pPr>
        <w:pStyle w:val="Heading1"/>
      </w:pPr>
      <w:r>
        <w:t>Chapter 18 Field Guide  ....  73</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do we verify information without turning suspicion into proof?</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authorization, relevance, consistency, documentation, and qualified review.</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Experienced Candidate</w:t>
      </w:r>
    </w:p>
    <w:p>
      <w:pPr>
        <w:spacing w:after="140" w:line="257" w:lineRule="auto"/>
      </w:pPr>
      <w:r>
        <w:rPr>
          <w:rFonts w:ascii="Arial" w:hAnsi="Arial"/>
          <w:b w:val="0"/>
          <w:i w:val="0"/>
          <w:color w:val="1F1F1F"/>
          <w:sz w:val="22"/>
        </w:rPr>
        <w:t>Strong experience is paired with blame, disrespect, or resistance to standards.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18.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18 Action Record  ....  73</w:t>
      </w:r>
    </w:p>
    <w:p>
      <w:pPr>
        <w:spacing w:after="140" w:line="257" w:lineRule="auto"/>
      </w:pPr>
      <w:r>
        <w:rPr>
          <w:rFonts w:ascii="Arial" w:hAnsi="Arial"/>
          <w:b w:val="0"/>
          <w:i w:val="0"/>
          <w:color w:val="1F1F1F"/>
          <w:sz w:val="19"/>
        </w:rPr>
        <w:t>Complete this page for one real decision involving “Check References and Background Information Carefully.”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IV</w:t>
      </w:r>
    </w:p>
    <w:p>
      <w:pPr>
        <w:pStyle w:val="Heading1"/>
      </w:pPr>
      <w:r>
        <w:t>Make and Document the Decision</w:t>
      </w:r>
    </w:p>
    <w:p>
      <w:pPr>
        <w:spacing w:after="140" w:line="257" w:lineRule="auto"/>
      </w:pPr>
      <w:r>
        <w:rPr>
          <w:rFonts w:ascii="Arial" w:hAnsi="Arial"/>
          <w:b w:val="0"/>
          <w:i w:val="0"/>
          <w:color w:val="1F1F1F"/>
          <w:sz w:val="22"/>
        </w:rPr>
        <w:t>Compare evidence consistently, test concerns fairly, communicate decisions, and preserve an auditable record.</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Separate evidence from preference and preserve accountable human judgment.</w:t>
            </w:r>
          </w:p>
        </w:tc>
      </w:tr>
    </w:tbl>
    <w:p>
      <w:r>
        <w:br w:type="page"/>
      </w:r>
    </w:p>
    <w:p>
      <w:pPr>
        <w:pStyle w:val="Heading1"/>
      </w:pPr>
      <w:r>
        <w:t>Chapter 19</w:t>
      </w:r>
    </w:p>
    <w:p>
      <w:pPr>
        <w:pStyle w:val="Heading1"/>
      </w:pPr>
      <w:r>
        <w:t>Score Evidence Before Discussing Preference</w:t>
      </w:r>
    </w:p>
    <w:p>
      <w:pPr>
        <w:spacing w:after="140" w:line="257" w:lineRule="auto"/>
      </w:pPr>
      <w:r>
        <w:rPr>
          <w:rFonts w:ascii="Arial" w:hAnsi="Arial"/>
          <w:b w:val="0"/>
          <w:i w:val="0"/>
          <w:color w:val="1F1F1F"/>
          <w:sz w:val="22"/>
        </w:rPr>
        <w:t>Require independent scoring against anchored criteria before group discussion.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did the candidate actually demonstrate?</w:t>
            </w:r>
          </w:p>
        </w:tc>
      </w:tr>
    </w:tbl>
    <w:p>
      <w:pPr>
        <w:pStyle w:val="Heading2"/>
      </w:pPr>
      <w:r>
        <w:t>Why this chapter matters</w:t>
      </w:r>
    </w:p>
    <w:p>
      <w:pPr>
        <w:spacing w:after="140" w:line="257" w:lineRule="auto"/>
      </w:pPr>
      <w:r>
        <w:rPr>
          <w:rFonts w:ascii="Arial" w:hAnsi="Arial"/>
          <w:b w:val="0"/>
          <w:i w:val="0"/>
          <w:color w:val="1F1F1F"/>
          <w:sz w:val="20"/>
        </w:rPr>
        <w:t>In restaurant operations, selection and records becomes unreliable when the decision lives only in memory or urgency. Separate evidence from preference and preserve accountable human judgment.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“Score Evidence Before Discussing Preference,” the written record should make those five points visible without exaggeration or labels.</w:t>
      </w:r>
    </w:p>
    <w:p>
      <w:pPr>
        <w:pStyle w:val="Heading2"/>
      </w:pPr>
      <w:r>
        <w:t>Care-first lens</w:t>
      </w:r>
    </w:p>
    <w:p>
      <w:pPr>
        <w:spacing w:after="140" w:line="257" w:lineRule="auto"/>
      </w:pPr>
      <w:r>
        <w:t>Record evidence independently before the team discusses who it likes best.</w:t>
      </w:r>
    </w:p>
    <w:p>
      <w:pPr>
        <w:pStyle w:val="Heading2"/>
      </w:pPr>
      <w:r>
        <w:t>Manager warning</w:t>
      </w:r>
    </w:p>
    <w:p>
      <w:pPr>
        <w:spacing w:after="140" w:line="257" w:lineRule="auto"/>
      </w:pPr>
      <w:r>
        <w:t>Do not let group discussion rewrite a weak record into a strong one.</w:t>
      </w:r>
    </w:p>
    <w:p>
      <w:r>
        <w:br w:type="page"/>
      </w:r>
    </w:p>
    <w:p>
      <w:pPr>
        <w:pStyle w:val="Heading1"/>
      </w:pPr>
      <w:r>
        <w:t>Chapter 19 Field Guide  ....  78</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did the candidate actually demonstrate?</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Require independent scoring against anchored criteria before group discussion.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Quiet Candidate</w:t>
      </w:r>
    </w:p>
    <w:p>
      <w:pPr>
        <w:spacing w:after="140" w:line="257" w:lineRule="auto"/>
      </w:pPr>
      <w:r>
        <w:rPr>
          <w:rFonts w:ascii="Arial" w:hAnsi="Arial"/>
          <w:b w:val="0"/>
          <w:i w:val="0"/>
          <w:color w:val="1F1F1F"/>
          <w:sz w:val="22"/>
        </w:rPr>
        <w:t>A reserved candidate provides strong evidence but does not perform socially like the manager expects.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19.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19 Action Record  ....  78</w:t>
      </w:r>
    </w:p>
    <w:p>
      <w:pPr>
        <w:spacing w:after="140" w:line="257" w:lineRule="auto"/>
      </w:pPr>
      <w:r>
        <w:rPr>
          <w:rFonts w:ascii="Arial" w:hAnsi="Arial"/>
          <w:b w:val="0"/>
          <w:i w:val="0"/>
          <w:color w:val="1F1F1F"/>
          <w:sz w:val="19"/>
        </w:rPr>
        <w:t>Complete this page for one real decision involving “Score Evidence Before Discussing Preference.”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20</w:t>
      </w:r>
    </w:p>
    <w:p>
      <w:pPr>
        <w:pStyle w:val="Heading1"/>
      </w:pPr>
      <w:r>
        <w:t>Use a Second Look When Evidence Is Thin</w:t>
      </w:r>
    </w:p>
    <w:p>
      <w:pPr>
        <w:spacing w:after="140" w:line="257" w:lineRule="auto"/>
      </w:pPr>
      <w:r>
        <w:rPr>
          <w:rFonts w:ascii="Arial" w:hAnsi="Arial"/>
          <w:b w:val="0"/>
          <w:i w:val="0"/>
          <w:color w:val="1F1F1F"/>
          <w:sz w:val="22"/>
        </w:rPr>
        <w:t>Use a second interview, lawful work sample, or clarified reference rather than filling gaps with assumptions.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should we do when the answer is still uncertain?</w:t>
            </w:r>
          </w:p>
        </w:tc>
      </w:tr>
    </w:tbl>
    <w:p>
      <w:pPr>
        <w:pStyle w:val="Heading2"/>
      </w:pPr>
      <w:r>
        <w:t>Why this chapter matters</w:t>
      </w:r>
    </w:p>
    <w:p>
      <w:pPr>
        <w:spacing w:after="140" w:line="257" w:lineRule="auto"/>
      </w:pPr>
      <w:r>
        <w:rPr>
          <w:rFonts w:ascii="Arial" w:hAnsi="Arial"/>
          <w:b w:val="0"/>
          <w:i w:val="0"/>
          <w:color w:val="1F1F1F"/>
          <w:sz w:val="20"/>
        </w:rPr>
        <w:t>In restaurant operations, selection and records becomes unreliable when the decision lives only in memory or urgency. Separate evidence from preference and preserve accountable human judgment.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“Use a Second Look When Evidence Is Thin,” the written record should make those five points visible without exaggeration or labels.</w:t>
      </w:r>
    </w:p>
    <w:p>
      <w:pPr>
        <w:pStyle w:val="Heading2"/>
      </w:pPr>
      <w:r>
        <w:t>Care-first lens</w:t>
      </w:r>
    </w:p>
    <w:p>
      <w:pPr>
        <w:spacing w:after="140" w:line="257" w:lineRule="auto"/>
      </w:pPr>
      <w:r>
        <w:t>Identify the exact missing evidence and use one fair, approved way to obtain it.</w:t>
      </w:r>
    </w:p>
    <w:p>
      <w:pPr>
        <w:pStyle w:val="Heading2"/>
      </w:pPr>
      <w:r>
        <w:t>Manager warning</w:t>
      </w:r>
    </w:p>
    <w:p>
      <w:pPr>
        <w:spacing w:after="140" w:line="257" w:lineRule="auto"/>
      </w:pPr>
      <w:r>
        <w:t>Do not fill evidence gaps with assumptions or extend the process only for favorites.</w:t>
      </w:r>
    </w:p>
    <w:p>
      <w:r>
        <w:br w:type="page"/>
      </w:r>
    </w:p>
    <w:p>
      <w:pPr>
        <w:pStyle w:val="Heading1"/>
      </w:pPr>
      <w:r>
        <w:t>Chapter 20 Field Guide  ....  82</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should we do when the answer is still uncertain?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a second interview, lawful work sample, or clarified reference rather than filling gaps with assumptions.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Employee Referral</w:t>
      </w:r>
    </w:p>
    <w:p>
      <w:pPr>
        <w:spacing w:after="140" w:line="257" w:lineRule="auto"/>
      </w:pPr>
      <w:r>
        <w:rPr>
          <w:rFonts w:ascii="Arial" w:hAnsi="Arial"/>
          <w:b w:val="0"/>
          <w:i w:val="0"/>
          <w:color w:val="1F1F1F"/>
          <w:sz w:val="22"/>
        </w:rPr>
        <w:t>A respected employee recommends a friend and the manager wants to skip the normal process.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20.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20 Action Record  ....  82</w:t>
      </w:r>
    </w:p>
    <w:p>
      <w:pPr>
        <w:spacing w:after="140" w:line="257" w:lineRule="auto"/>
      </w:pPr>
      <w:r>
        <w:rPr>
          <w:rFonts w:ascii="Arial" w:hAnsi="Arial"/>
          <w:b w:val="0"/>
          <w:i w:val="0"/>
          <w:color w:val="1F1F1F"/>
          <w:sz w:val="19"/>
        </w:rPr>
        <w:t>Complete this page for one real decision involving “Use a Second Look When Evidence Is Thin.”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21</w:t>
      </w:r>
    </w:p>
    <w:p>
      <w:pPr>
        <w:pStyle w:val="Heading1"/>
      </w:pPr>
      <w:r>
        <w:t>Remove Favoritism from the Decision</w:t>
      </w:r>
    </w:p>
    <w:p>
      <w:pPr>
        <w:spacing w:after="140" w:line="257" w:lineRule="auto"/>
      </w:pPr>
      <w:r>
        <w:rPr>
          <w:rFonts w:ascii="Arial" w:hAnsi="Arial"/>
          <w:b w:val="0"/>
          <w:i w:val="0"/>
          <w:color w:val="1F1F1F"/>
          <w:sz w:val="22"/>
        </w:rPr>
        <w:t>Expose affinity, urgency, halo effects, reputation, and manager pressure as risks to evidence.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Are we choosing the strongest evidence or the most familiar person?</w:t>
            </w:r>
          </w:p>
        </w:tc>
      </w:tr>
    </w:tbl>
    <w:p>
      <w:pPr>
        <w:pStyle w:val="Heading2"/>
      </w:pPr>
      <w:r>
        <w:t>Why this chapter matters</w:t>
      </w:r>
    </w:p>
    <w:p>
      <w:pPr>
        <w:spacing w:after="140" w:line="257" w:lineRule="auto"/>
      </w:pPr>
      <w:r>
        <w:rPr>
          <w:rFonts w:ascii="Arial" w:hAnsi="Arial"/>
          <w:b w:val="0"/>
          <w:i w:val="0"/>
          <w:color w:val="1F1F1F"/>
          <w:sz w:val="20"/>
        </w:rPr>
        <w:t>In restaurant operations, selection and records becomes unreliable when the decision lives only in memory or urgency. Separate evidence from preference and preserve accountable human judgment.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“Remove Favoritism from the Decision,” the written record should make those five points visible without exaggeration or labels.</w:t>
      </w:r>
    </w:p>
    <w:p>
      <w:pPr>
        <w:pStyle w:val="Heading2"/>
      </w:pPr>
      <w:r>
        <w:t>Care-first lens</w:t>
      </w:r>
    </w:p>
    <w:p>
      <w:pPr>
        <w:spacing w:after="140" w:line="257" w:lineRule="auto"/>
      </w:pPr>
      <w:r>
        <w:t>Compare each candidate to the same role standard and record the reason for the choice.</w:t>
      </w:r>
    </w:p>
    <w:p>
      <w:pPr>
        <w:pStyle w:val="Heading2"/>
      </w:pPr>
      <w:r>
        <w:t>Manager warning</w:t>
      </w:r>
    </w:p>
    <w:p>
      <w:pPr>
        <w:spacing w:after="140" w:line="257" w:lineRule="auto"/>
      </w:pPr>
      <w:r>
        <w:t>Do not give referrals, friends, or familiar applicants an unrecorded advantage.</w:t>
      </w:r>
    </w:p>
    <w:p>
      <w:r>
        <w:br w:type="page"/>
      </w:r>
    </w:p>
    <w:p>
      <w:pPr>
        <w:pStyle w:val="Heading1"/>
      </w:pPr>
      <w:r>
        <w:t>Chapter 21 Field Guide  ....  86</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Are we choosing the strongest evidence or the most familiar person?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Expose affinity, urgency, halo effects, reputation, and manager pressure as risks to evidence.</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Schedule Mismatch</w:t>
      </w:r>
    </w:p>
    <w:p>
      <w:pPr>
        <w:spacing w:after="140" w:line="257" w:lineRule="auto"/>
      </w:pPr>
      <w:r>
        <w:rPr>
          <w:rFonts w:ascii="Arial" w:hAnsi="Arial"/>
          <w:b w:val="0"/>
          <w:i w:val="0"/>
          <w:color w:val="1F1F1F"/>
          <w:sz w:val="22"/>
        </w:rPr>
        <w:t>The candidate is capable, but the available hours do not match the restaurant’s verified need.</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21.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21 Action Record  ....  86</w:t>
      </w:r>
    </w:p>
    <w:p>
      <w:pPr>
        <w:spacing w:after="140" w:line="257" w:lineRule="auto"/>
      </w:pPr>
      <w:r>
        <w:rPr>
          <w:rFonts w:ascii="Arial" w:hAnsi="Arial"/>
          <w:b w:val="0"/>
          <w:i w:val="0"/>
          <w:color w:val="1F1F1F"/>
          <w:sz w:val="19"/>
        </w:rPr>
        <w:t>Complete this page for one real decision involving “Remove Favoritism from the Decision.”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22</w:t>
      </w:r>
    </w:p>
    <w:p>
      <w:pPr>
        <w:pStyle w:val="Heading1"/>
      </w:pPr>
      <w:r>
        <w:t>Make the Offer Honestly</w:t>
      </w:r>
    </w:p>
    <w:p>
      <w:pPr>
        <w:spacing w:after="140" w:line="257" w:lineRule="auto"/>
      </w:pPr>
      <w:r>
        <w:rPr>
          <w:rFonts w:ascii="Arial" w:hAnsi="Arial"/>
          <w:b w:val="0"/>
          <w:i w:val="0"/>
          <w:color w:val="1F1F1F"/>
          <w:sz w:val="22"/>
        </w:rPr>
        <w:t>Confirm role, pay, scheduling expectations, conditions, start process, and who will support the employee.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must be clear before the candidate says yes?</w:t>
            </w:r>
          </w:p>
        </w:tc>
      </w:tr>
    </w:tbl>
    <w:p>
      <w:pPr>
        <w:pStyle w:val="Heading2"/>
      </w:pPr>
      <w:r>
        <w:t>Why this chapter matters</w:t>
      </w:r>
    </w:p>
    <w:p>
      <w:pPr>
        <w:spacing w:after="140" w:line="257" w:lineRule="auto"/>
      </w:pPr>
      <w:r>
        <w:rPr>
          <w:rFonts w:ascii="Arial" w:hAnsi="Arial"/>
          <w:b w:val="0"/>
          <w:i w:val="0"/>
          <w:color w:val="1F1F1F"/>
          <w:sz w:val="20"/>
        </w:rPr>
        <w:t>In restaurant operations, selection and records becomes unreliable when the decision lives only in memory or urgency. Separate evidence from preference and preserve accountable human judgment.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“Make the Offer Honestly,” the written record should make those five points visible without exaggeration or labels.</w:t>
      </w:r>
    </w:p>
    <w:p>
      <w:pPr>
        <w:pStyle w:val="Heading2"/>
      </w:pPr>
      <w:r>
        <w:t>Care-first lens</w:t>
      </w:r>
    </w:p>
    <w:p>
      <w:pPr>
        <w:spacing w:after="140" w:line="257" w:lineRule="auto"/>
      </w:pPr>
      <w:r>
        <w:t>Confirm the actual role, schedule, pay process, conditions, and next steps before the candidate accepts.</w:t>
      </w:r>
    </w:p>
    <w:p>
      <w:pPr>
        <w:pStyle w:val="Heading2"/>
      </w:pPr>
      <w:r>
        <w:t>Manager warning</w:t>
      </w:r>
    </w:p>
    <w:p>
      <w:pPr>
        <w:spacing w:after="140" w:line="257" w:lineRule="auto"/>
      </w:pPr>
      <w:r>
        <w:t>Do not make promises a manager cannot authorize or keep.</w:t>
      </w:r>
    </w:p>
    <w:p>
      <w:r>
        <w:br w:type="page"/>
      </w:r>
    </w:p>
    <w:p>
      <w:pPr>
        <w:pStyle w:val="Heading1"/>
      </w:pPr>
      <w:r>
        <w:t>Chapter 22 Field Guide  ....  90</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must be clear before the candidate says yes?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Confirm role, pay, scheduling expectations, conditions, start process, and who will support the employee.</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Perfect Interview</w:t>
      </w:r>
    </w:p>
    <w:p>
      <w:pPr>
        <w:spacing w:after="140" w:line="257" w:lineRule="auto"/>
      </w:pPr>
      <w:r>
        <w:rPr>
          <w:rFonts w:ascii="Arial" w:hAnsi="Arial"/>
          <w:b w:val="0"/>
          <w:i w:val="0"/>
          <w:color w:val="1F1F1F"/>
          <w:sz w:val="22"/>
        </w:rPr>
        <w:t>Answers sound polished but contain few concrete examples or verifiable detail.</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22.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22 Action Record  ....  90</w:t>
      </w:r>
    </w:p>
    <w:p>
      <w:pPr>
        <w:spacing w:after="140" w:line="257" w:lineRule="auto"/>
      </w:pPr>
      <w:r>
        <w:rPr>
          <w:rFonts w:ascii="Arial" w:hAnsi="Arial"/>
          <w:b w:val="0"/>
          <w:i w:val="0"/>
          <w:color w:val="1F1F1F"/>
          <w:sz w:val="19"/>
        </w:rPr>
        <w:t>Complete this page for one real decision involving “Make the Offer Honestly.”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23</w:t>
      </w:r>
    </w:p>
    <w:p>
      <w:pPr>
        <w:pStyle w:val="Heading1"/>
      </w:pPr>
      <w:r>
        <w:t>Document the Hiring Decision</w:t>
      </w:r>
    </w:p>
    <w:p>
      <w:pPr>
        <w:spacing w:after="140" w:line="257" w:lineRule="auto"/>
      </w:pPr>
      <w:r>
        <w:rPr>
          <w:rFonts w:ascii="Arial" w:hAnsi="Arial"/>
          <w:b w:val="0"/>
          <w:i w:val="0"/>
          <w:color w:val="1F1F1F"/>
          <w:sz w:val="22"/>
        </w:rPr>
        <w:t>Record the criteria, evidence, decision, approvals, conditions, and retained records.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Could another authorized leader understand why this decision was made?</w:t>
            </w:r>
          </w:p>
        </w:tc>
      </w:tr>
    </w:tbl>
    <w:p>
      <w:pPr>
        <w:pStyle w:val="Heading2"/>
      </w:pPr>
      <w:r>
        <w:t>Why this chapter matters</w:t>
      </w:r>
    </w:p>
    <w:p>
      <w:pPr>
        <w:spacing w:after="140" w:line="257" w:lineRule="auto"/>
      </w:pPr>
      <w:r>
        <w:rPr>
          <w:rFonts w:ascii="Arial" w:hAnsi="Arial"/>
          <w:b w:val="0"/>
          <w:i w:val="0"/>
          <w:color w:val="1F1F1F"/>
          <w:sz w:val="20"/>
        </w:rPr>
        <w:t>In restaurant operations, selection and records becomes unreliable when the decision lives only in memory or urgency. Separate evidence from preference and preserve accountable human judgment.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“Document the Hiring Decision,” the written record should make those five points visible without exaggeration or labels.</w:t>
      </w:r>
    </w:p>
    <w:p>
      <w:pPr>
        <w:pStyle w:val="Heading2"/>
      </w:pPr>
      <w:r>
        <w:t>Care-first lens</w:t>
      </w:r>
    </w:p>
    <w:p>
      <w:pPr>
        <w:spacing w:after="140" w:line="257" w:lineRule="auto"/>
      </w:pPr>
      <w:r>
        <w:t>Create a concise record of criteria, evidence, authority, decision, and next step.</w:t>
      </w:r>
    </w:p>
    <w:p>
      <w:pPr>
        <w:pStyle w:val="Heading2"/>
      </w:pPr>
      <w:r>
        <w:t>Manager warning</w:t>
      </w:r>
    </w:p>
    <w:p>
      <w:pPr>
        <w:spacing w:after="140" w:line="257" w:lineRule="auto"/>
      </w:pPr>
      <w:r>
        <w:t>Do not write labels that cannot be supported by facts or may create unnecessary risk.</w:t>
      </w:r>
    </w:p>
    <w:p>
      <w:r>
        <w:br w:type="page"/>
      </w:r>
    </w:p>
    <w:p>
      <w:pPr>
        <w:pStyle w:val="Heading1"/>
      </w:pPr>
      <w:r>
        <w:t>Chapter 23 Field Guide  ....  94</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Could another authorized leader understand why this decision was made?</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Record the criteria, evidence, decision, approvals, conditions, and retained records.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Second Chance</w:t>
      </w:r>
    </w:p>
    <w:p>
      <w:pPr>
        <w:spacing w:after="140" w:line="257" w:lineRule="auto"/>
      </w:pPr>
      <w:r>
        <w:rPr>
          <w:rFonts w:ascii="Arial" w:hAnsi="Arial"/>
          <w:b w:val="0"/>
          <w:i w:val="0"/>
          <w:color w:val="1F1F1F"/>
          <w:sz w:val="22"/>
        </w:rPr>
        <w:t>A candidate owns a prior failure and explains specific correction and learning.</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23.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23 Action Record  ....  94</w:t>
      </w:r>
    </w:p>
    <w:p>
      <w:pPr>
        <w:spacing w:after="140" w:line="257" w:lineRule="auto"/>
      </w:pPr>
      <w:r>
        <w:rPr>
          <w:rFonts w:ascii="Arial" w:hAnsi="Arial"/>
          <w:b w:val="0"/>
          <w:i w:val="0"/>
          <w:color w:val="1F1F1F"/>
          <w:sz w:val="19"/>
        </w:rPr>
        <w:t>Complete this page for one real decision involving “Document the Hiring Decision.”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V</w:t>
      </w:r>
    </w:p>
    <w:p>
      <w:pPr>
        <w:pStyle w:val="Heading1"/>
      </w:pPr>
      <w:r>
        <w:t>Protect the First 90 Days</w:t>
      </w:r>
    </w:p>
    <w:p>
      <w:pPr>
        <w:spacing w:after="140" w:line="257" w:lineRule="auto"/>
      </w:pPr>
      <w:r>
        <w:rPr>
          <w:rFonts w:ascii="Arial" w:hAnsi="Arial"/>
          <w:b w:val="0"/>
          <w:i w:val="0"/>
          <w:color w:val="1F1F1F"/>
          <w:sz w:val="22"/>
        </w:rPr>
        <w:t>Connect selection to preboarding, training, support, check-ins, early correction, and verified role readiness.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Test clarity, training, opportunity, tools, schedule, and conduct before assigning blame.</w:t>
            </w:r>
          </w:p>
        </w:tc>
      </w:tr>
    </w:tbl>
    <w:p>
      <w:r>
        <w:br w:type="page"/>
      </w:r>
    </w:p>
    <w:p>
      <w:pPr>
        <w:pStyle w:val="Heading1"/>
      </w:pPr>
      <w:r>
        <w:t>Chapter 24</w:t>
      </w:r>
    </w:p>
    <w:p>
      <w:pPr>
        <w:pStyle w:val="Heading1"/>
      </w:pPr>
      <w:r>
        <w:t>Protect the Time Before Day One</w:t>
      </w:r>
    </w:p>
    <w:p>
      <w:pPr>
        <w:spacing w:after="140" w:line="257" w:lineRule="auto"/>
      </w:pPr>
      <w:r>
        <w:rPr>
          <w:rFonts w:ascii="Arial" w:hAnsi="Arial"/>
          <w:b w:val="0"/>
          <w:i w:val="0"/>
          <w:color w:val="1F1F1F"/>
          <w:sz w:val="22"/>
        </w:rPr>
        <w:t>Control communication, documents, schedule, uniform, trainer, arrival, and avoidable uncertainty.</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causes good candidates to disappear before their first shift?</w:t>
            </w:r>
          </w:p>
        </w:tc>
      </w:tr>
    </w:tbl>
    <w:p>
      <w:pPr>
        <w:pStyle w:val="Heading2"/>
      </w:pPr>
      <w:r>
        <w:t>Why this chapter matters</w:t>
      </w:r>
    </w:p>
    <w:p>
      <w:pPr>
        <w:spacing w:after="140" w:line="257" w:lineRule="auto"/>
      </w:pPr>
      <w:r>
        <w:rPr>
          <w:rFonts w:ascii="Arial" w:hAnsi="Arial"/>
          <w:b w:val="0"/>
          <w:i w:val="0"/>
          <w:color w:val="1F1F1F"/>
          <w:sz w:val="20"/>
        </w:rPr>
        <w:t>In restaurant operations, first-90-day support becomes unreliable when the decision lives only in memory or urgency. Test clarity, training, opportunity, tools, schedule, and conduct before assigning blame.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“Protect the Time Before Day One,” the written record should make those five points visible without exaggeration or labels.</w:t>
      </w:r>
    </w:p>
    <w:p>
      <w:pPr>
        <w:pStyle w:val="Heading2"/>
      </w:pPr>
      <w:r>
        <w:t>Care-first lens</w:t>
      </w:r>
    </w:p>
    <w:p>
      <w:pPr>
        <w:spacing w:after="140" w:line="257" w:lineRule="auto"/>
      </w:pPr>
      <w:r>
        <w:t>Make sure the new employee receives confirmed details, required paperwork, and a prepared first-day contact.</w:t>
      </w:r>
    </w:p>
    <w:p>
      <w:pPr>
        <w:pStyle w:val="Heading2"/>
      </w:pPr>
      <w:r>
        <w:t>Manager warning</w:t>
      </w:r>
    </w:p>
    <w:p>
      <w:pPr>
        <w:spacing w:after="140" w:line="257" w:lineRule="auto"/>
      </w:pPr>
      <w:r>
        <w:t>Do not let silence after acceptance create a preventable no-show.</w:t>
      </w:r>
    </w:p>
    <w:p>
      <w:r>
        <w:br w:type="page"/>
      </w:r>
    </w:p>
    <w:p>
      <w:pPr>
        <w:pStyle w:val="Heading1"/>
      </w:pPr>
      <w:r>
        <w:t>Chapter 24 Field Guide  ....  99</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causes good candidates to disappear before their first shift?</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Control communication, documents, schedule, uniform, trainer, arrival, and avoidable uncertainty.</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Background Concern</w:t>
      </w:r>
    </w:p>
    <w:p>
      <w:pPr>
        <w:spacing w:after="140" w:line="257" w:lineRule="auto"/>
      </w:pPr>
      <w:r>
        <w:rPr>
          <w:rFonts w:ascii="Arial" w:hAnsi="Arial"/>
          <w:b w:val="0"/>
          <w:i w:val="0"/>
          <w:color w:val="1F1F1F"/>
          <w:sz w:val="22"/>
        </w:rPr>
        <w:t>Information appears that may be inaccurate, irrelevant, outdated, or legally restricted.</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24.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24 Action Record  ....  99</w:t>
      </w:r>
    </w:p>
    <w:p>
      <w:pPr>
        <w:spacing w:after="140" w:line="257" w:lineRule="auto"/>
      </w:pPr>
      <w:r>
        <w:rPr>
          <w:rFonts w:ascii="Arial" w:hAnsi="Arial"/>
          <w:b w:val="0"/>
          <w:i w:val="0"/>
          <w:color w:val="1F1F1F"/>
          <w:sz w:val="19"/>
        </w:rPr>
        <w:t>Complete this page for one real decision involving “Protect the Time Before Day One.”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25</w:t>
      </w:r>
    </w:p>
    <w:p>
      <w:pPr>
        <w:pStyle w:val="Heading1"/>
      </w:pPr>
      <w:r>
        <w:t>Make the First Shift Match the Promise</w:t>
      </w:r>
    </w:p>
    <w:p>
      <w:pPr>
        <w:spacing w:after="140" w:line="257" w:lineRule="auto"/>
      </w:pPr>
      <w:r>
        <w:rPr>
          <w:rFonts w:ascii="Arial" w:hAnsi="Arial"/>
          <w:b w:val="0"/>
          <w:i w:val="0"/>
          <w:color w:val="1F1F1F"/>
          <w:sz w:val="22"/>
        </w:rPr>
        <w:t>Connect welcome, job reality, safety, standards, training, and manager attention.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Does the first shift confirm or contradict the interview?</w:t>
            </w:r>
          </w:p>
        </w:tc>
      </w:tr>
    </w:tbl>
    <w:p>
      <w:pPr>
        <w:pStyle w:val="Heading2"/>
      </w:pPr>
      <w:r>
        <w:t>Why this chapter matters</w:t>
      </w:r>
    </w:p>
    <w:p>
      <w:pPr>
        <w:spacing w:after="140" w:line="257" w:lineRule="auto"/>
      </w:pPr>
      <w:r>
        <w:rPr>
          <w:rFonts w:ascii="Arial" w:hAnsi="Arial"/>
          <w:b w:val="0"/>
          <w:i w:val="0"/>
          <w:color w:val="1F1F1F"/>
          <w:sz w:val="20"/>
        </w:rPr>
        <w:t>In restaurant operations, first-90-day support becomes unreliable when the decision lives only in memory or urgency. Test clarity, training, opportunity, tools, schedule, and conduct before assigning blame.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“Make the First Shift Match the Promise,” the written record should make those five points visible without exaggeration or labels.</w:t>
      </w:r>
    </w:p>
    <w:p>
      <w:pPr>
        <w:pStyle w:val="Heading2"/>
      </w:pPr>
      <w:r>
        <w:t>Care-first lens</w:t>
      </w:r>
    </w:p>
    <w:p>
      <w:pPr>
        <w:spacing w:after="140" w:line="257" w:lineRule="auto"/>
      </w:pPr>
      <w:r>
        <w:t>Assign an informed trainer, a clear start point, and enough structure to make the first shift useful.</w:t>
      </w:r>
    </w:p>
    <w:p>
      <w:pPr>
        <w:pStyle w:val="Heading2"/>
      </w:pPr>
      <w:r>
        <w:t>Manager warning</w:t>
      </w:r>
    </w:p>
    <w:p>
      <w:pPr>
        <w:spacing w:after="140" w:line="257" w:lineRule="auto"/>
      </w:pPr>
      <w:r>
        <w:t>Do not treat orientation as complete because the employee was handed paperwork.</w:t>
      </w:r>
    </w:p>
    <w:p>
      <w:r>
        <w:br w:type="page"/>
      </w:r>
    </w:p>
    <w:p>
      <w:pPr>
        <w:pStyle w:val="Heading1"/>
      </w:pPr>
      <w:r>
        <w:t>Chapter 25 Field Guide  ....  103</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Does the first shift confirm or contradict the interview?</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Connect welcome, job reality, safety, standards, training, and manager attention.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First Week Silence</w:t>
      </w:r>
    </w:p>
    <w:p>
      <w:pPr>
        <w:spacing w:after="140" w:line="257" w:lineRule="auto"/>
      </w:pPr>
      <w:r>
        <w:rPr>
          <w:rFonts w:ascii="Arial" w:hAnsi="Arial"/>
          <w:b w:val="0"/>
          <w:i w:val="0"/>
          <w:color w:val="1F1F1F"/>
          <w:sz w:val="22"/>
        </w:rPr>
        <w:t>A new hire says everything is fine while training records show missed practice and unclear expectations.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25.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25 Action Record  ....  103</w:t>
      </w:r>
    </w:p>
    <w:p>
      <w:pPr>
        <w:spacing w:after="140" w:line="257" w:lineRule="auto"/>
      </w:pPr>
      <w:r>
        <w:rPr>
          <w:rFonts w:ascii="Arial" w:hAnsi="Arial"/>
          <w:b w:val="0"/>
          <w:i w:val="0"/>
          <w:color w:val="1F1F1F"/>
          <w:sz w:val="19"/>
        </w:rPr>
        <w:t>Complete this page for one real decision involving “Make the First Shift Match the Promise.”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26</w:t>
      </w:r>
    </w:p>
    <w:p>
      <w:pPr>
        <w:pStyle w:val="Heading1"/>
      </w:pPr>
      <w:r>
        <w:t>Use 7 Day 14 Day 30 Day 60 Day and 90 Day Check Ins</w:t>
      </w:r>
    </w:p>
    <w:p>
      <w:pPr>
        <w:spacing w:after="140" w:line="257" w:lineRule="auto"/>
      </w:pPr>
      <w:r>
        <w:rPr>
          <w:rFonts w:ascii="Arial" w:hAnsi="Arial"/>
          <w:b w:val="0"/>
          <w:i w:val="0"/>
          <w:color w:val="1F1F1F"/>
          <w:sz w:val="22"/>
        </w:rPr>
        <w:t>Create a listening and verification rhythm that catches preventable loss early.</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should managers learn before silence becomes resignation?</w:t>
            </w:r>
          </w:p>
        </w:tc>
      </w:tr>
    </w:tbl>
    <w:p>
      <w:pPr>
        <w:pStyle w:val="Heading2"/>
      </w:pPr>
      <w:r>
        <w:t>Why this chapter matters</w:t>
      </w:r>
    </w:p>
    <w:p>
      <w:pPr>
        <w:spacing w:after="140" w:line="257" w:lineRule="auto"/>
      </w:pPr>
      <w:r>
        <w:rPr>
          <w:rFonts w:ascii="Arial" w:hAnsi="Arial"/>
          <w:b w:val="0"/>
          <w:i w:val="0"/>
          <w:color w:val="1F1F1F"/>
          <w:sz w:val="20"/>
        </w:rPr>
        <w:t>In restaurant operations, first-90-day support becomes unreliable when the decision lives only in memory or urgency. Test clarity, training, opportunity, tools, schedule, and conduct before assigning blame.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“Use 7 Day 14 Day 30 Day 60 Day and 90 Day Check Ins,” the written record should make those five points visible without exaggeration or labels.</w:t>
      </w:r>
    </w:p>
    <w:p>
      <w:pPr>
        <w:pStyle w:val="Heading2"/>
      </w:pPr>
      <w:r>
        <w:t>Care-first lens</w:t>
      </w:r>
    </w:p>
    <w:p>
      <w:pPr>
        <w:spacing w:after="140" w:line="257" w:lineRule="auto"/>
      </w:pPr>
      <w:r>
        <w:t>Use scheduled conversations to surface confusion, support needs, evidence of progress, and retention risk.</w:t>
      </w:r>
    </w:p>
    <w:p>
      <w:pPr>
        <w:pStyle w:val="Heading2"/>
      </w:pPr>
      <w:r>
        <w:t>Manager warning</w:t>
      </w:r>
    </w:p>
    <w:p>
      <w:pPr>
        <w:spacing w:after="140" w:line="257" w:lineRule="auto"/>
      </w:pPr>
      <w:r>
        <w:t>Do not wait for a performance problem or resignation to ask how the job is going.</w:t>
      </w:r>
    </w:p>
    <w:p>
      <w:r>
        <w:br w:type="page"/>
      </w:r>
    </w:p>
    <w:p>
      <w:pPr>
        <w:pStyle w:val="Heading1"/>
      </w:pPr>
      <w:r>
        <w:t>Chapter 26 Field Guide  ....  107</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should managers learn before silence becomes resignation?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Create a listening and verification rhythm that catches preventable loss early.</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Trainer Problem</w:t>
      </w:r>
    </w:p>
    <w:p>
      <w:pPr>
        <w:spacing w:after="140" w:line="257" w:lineRule="auto"/>
      </w:pPr>
      <w:r>
        <w:rPr>
          <w:rFonts w:ascii="Arial" w:hAnsi="Arial"/>
          <w:b w:val="0"/>
          <w:i w:val="0"/>
          <w:color w:val="1F1F1F"/>
          <w:sz w:val="22"/>
        </w:rPr>
        <w:t>The new hire is blamed for slow progress, but the assigned trainer changes the standard each shift.</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26.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26 Action Record  ....  107</w:t>
      </w:r>
    </w:p>
    <w:p>
      <w:pPr>
        <w:spacing w:after="140" w:line="257" w:lineRule="auto"/>
      </w:pPr>
      <w:r>
        <w:rPr>
          <w:rFonts w:ascii="Arial" w:hAnsi="Arial"/>
          <w:b w:val="0"/>
          <w:i w:val="0"/>
          <w:color w:val="1F1F1F"/>
          <w:sz w:val="19"/>
        </w:rPr>
        <w:t>Complete this page for one real decision involving “Use 7 Day 14 Day 30 Day 60 Day and 90 Day Check Ins.”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27</w:t>
      </w:r>
    </w:p>
    <w:p>
      <w:pPr>
        <w:pStyle w:val="Heading1"/>
      </w:pPr>
      <w:r>
        <w:t>Separate Fit Problems from Training Problems</w:t>
      </w:r>
    </w:p>
    <w:p>
      <w:pPr>
        <w:spacing w:after="140" w:line="257" w:lineRule="auto"/>
      </w:pPr>
      <w:r>
        <w:rPr>
          <w:rFonts w:ascii="Arial" w:hAnsi="Arial"/>
          <w:b w:val="0"/>
          <w:i w:val="0"/>
          <w:color w:val="1F1F1F"/>
          <w:sz w:val="22"/>
        </w:rPr>
        <w:t>Determine whether the issue is clarity, opportunity, skill, support, conduct, schedule, or role mismatch.</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Is the employee failing, or is the system failing the employee?</w:t>
            </w:r>
          </w:p>
        </w:tc>
      </w:tr>
    </w:tbl>
    <w:p>
      <w:pPr>
        <w:pStyle w:val="Heading2"/>
      </w:pPr>
      <w:r>
        <w:t>Why this chapter matters</w:t>
      </w:r>
    </w:p>
    <w:p>
      <w:pPr>
        <w:spacing w:after="140" w:line="257" w:lineRule="auto"/>
      </w:pPr>
      <w:r>
        <w:rPr>
          <w:rFonts w:ascii="Arial" w:hAnsi="Arial"/>
          <w:b w:val="0"/>
          <w:i w:val="0"/>
          <w:color w:val="1F1F1F"/>
          <w:sz w:val="20"/>
        </w:rPr>
        <w:t>In restaurant operations, first-90-day support becomes unreliable when the decision lives only in memory or urgency. Test clarity, training, opportunity, tools, schedule, and conduct before assigning blame.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“Separate Fit Problems from Training Problems,” the written record should make those five points visible without exaggeration or labels.</w:t>
      </w:r>
    </w:p>
    <w:p>
      <w:pPr>
        <w:pStyle w:val="Heading2"/>
      </w:pPr>
      <w:r>
        <w:t>Care-first lens</w:t>
      </w:r>
    </w:p>
    <w:p>
      <w:pPr>
        <w:spacing w:after="140" w:line="257" w:lineRule="auto"/>
      </w:pPr>
      <w:r>
        <w:t>Test whether expectations, tools, practice, supervision, or role conditions caused the miss before judging fit.</w:t>
      </w:r>
    </w:p>
    <w:p>
      <w:pPr>
        <w:pStyle w:val="Heading2"/>
      </w:pPr>
      <w:r>
        <w:t>Manager warning</w:t>
      </w:r>
    </w:p>
    <w:p>
      <w:pPr>
        <w:spacing w:after="140" w:line="257" w:lineRule="auto"/>
      </w:pPr>
      <w:r>
        <w:t>Do not call someone a poor fit when the restaurant did not provide a fair learning path.</w:t>
      </w:r>
    </w:p>
    <w:p>
      <w:r>
        <w:br w:type="page"/>
      </w:r>
    </w:p>
    <w:p>
      <w:pPr>
        <w:pStyle w:val="Heading1"/>
      </w:pPr>
      <w:r>
        <w:t>Chapter 27 Field Guide  ....  111</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Is the employee failing, or is the system failing the employee?</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Determine whether the issue is clarity, opportunity, skill, support, conduct, schedule, or role mismatch.</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Reliable Employee at Risk</w:t>
      </w:r>
    </w:p>
    <w:p>
      <w:pPr>
        <w:spacing w:after="140" w:line="257" w:lineRule="auto"/>
      </w:pPr>
      <w:r>
        <w:rPr>
          <w:rFonts w:ascii="Arial" w:hAnsi="Arial"/>
          <w:b w:val="0"/>
          <w:i w:val="0"/>
          <w:color w:val="1F1F1F"/>
          <w:sz w:val="22"/>
        </w:rPr>
        <w:t>A dependable employee is quietly considering leaving because of scheduling and manager behavior.</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27.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27 Action Record  ....  111</w:t>
      </w:r>
    </w:p>
    <w:p>
      <w:pPr>
        <w:spacing w:after="140" w:line="257" w:lineRule="auto"/>
      </w:pPr>
      <w:r>
        <w:rPr>
          <w:rFonts w:ascii="Arial" w:hAnsi="Arial"/>
          <w:b w:val="0"/>
          <w:i w:val="0"/>
          <w:color w:val="1F1F1F"/>
          <w:sz w:val="19"/>
        </w:rPr>
        <w:t>Complete this page for one real decision involving “Separate Fit Problems from Training Problems.”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28</w:t>
      </w:r>
    </w:p>
    <w:p>
      <w:pPr>
        <w:pStyle w:val="Heading1"/>
      </w:pPr>
      <w:r>
        <w:t>Coach Early and Fairly</w:t>
      </w:r>
    </w:p>
    <w:p>
      <w:pPr>
        <w:spacing w:after="140" w:line="257" w:lineRule="auto"/>
      </w:pPr>
      <w:r>
        <w:rPr>
          <w:rFonts w:ascii="Arial" w:hAnsi="Arial"/>
          <w:b w:val="0"/>
          <w:i w:val="0"/>
          <w:color w:val="1F1F1F"/>
          <w:sz w:val="22"/>
        </w:rPr>
        <w:t>Use facts, expectations, support, practice, deadlines, verification, and documented follow-through.</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can a manager correct a problem before it hardens?</w:t>
            </w:r>
          </w:p>
        </w:tc>
      </w:tr>
    </w:tbl>
    <w:p>
      <w:pPr>
        <w:pStyle w:val="Heading2"/>
      </w:pPr>
      <w:r>
        <w:t>Why this chapter matters</w:t>
      </w:r>
    </w:p>
    <w:p>
      <w:pPr>
        <w:spacing w:after="140" w:line="257" w:lineRule="auto"/>
      </w:pPr>
      <w:r>
        <w:rPr>
          <w:rFonts w:ascii="Arial" w:hAnsi="Arial"/>
          <w:b w:val="0"/>
          <w:i w:val="0"/>
          <w:color w:val="1F1F1F"/>
          <w:sz w:val="20"/>
        </w:rPr>
        <w:t>In restaurant operations, first-90-day support becomes unreliable when the decision lives only in memory or urgency. Test clarity, training, opportunity, tools, schedule, and conduct before assigning blame.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“Coach Early and Fairly,” the written record should make those five points visible without exaggeration or labels.</w:t>
      </w:r>
    </w:p>
    <w:p>
      <w:pPr>
        <w:pStyle w:val="Heading2"/>
      </w:pPr>
      <w:r>
        <w:t>Care-first lens</w:t>
      </w:r>
    </w:p>
    <w:p>
      <w:pPr>
        <w:spacing w:after="140" w:line="257" w:lineRule="auto"/>
      </w:pPr>
      <w:r>
        <w:t>Name the observed gap, the expected standard, the support offered, and the follow-up date.</w:t>
      </w:r>
    </w:p>
    <w:p>
      <w:pPr>
        <w:pStyle w:val="Heading2"/>
      </w:pPr>
      <w:r>
        <w:t>Manager warning</w:t>
      </w:r>
    </w:p>
    <w:p>
      <w:pPr>
        <w:spacing w:after="140" w:line="257" w:lineRule="auto"/>
      </w:pPr>
      <w:r>
        <w:t>Do not coach through vague warnings, public embarrassment, or changing expectations.</w:t>
      </w:r>
    </w:p>
    <w:p>
      <w:r>
        <w:br w:type="page"/>
      </w:r>
    </w:p>
    <w:p>
      <w:pPr>
        <w:pStyle w:val="Heading1"/>
      </w:pPr>
      <w:r>
        <w:t>Chapter 28 Field Guide  ....  115</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can a manager correct a problem before it hardens?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facts, expectations, support, practice, deadlines, verification, and documented follow-through.</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Exit Pattern</w:t>
      </w:r>
    </w:p>
    <w:p>
      <w:pPr>
        <w:spacing w:after="140" w:line="257" w:lineRule="auto"/>
      </w:pPr>
      <w:r>
        <w:rPr>
          <w:rFonts w:ascii="Arial" w:hAnsi="Arial"/>
          <w:b w:val="0"/>
          <w:i w:val="0"/>
          <w:color w:val="1F1F1F"/>
          <w:sz w:val="22"/>
        </w:rPr>
        <w:t>Three recent employees cite different immediate reasons but share one operational condition.</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28.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28 Action Record  ....  115</w:t>
      </w:r>
    </w:p>
    <w:p>
      <w:pPr>
        <w:spacing w:after="140" w:line="257" w:lineRule="auto"/>
      </w:pPr>
      <w:r>
        <w:rPr>
          <w:rFonts w:ascii="Arial" w:hAnsi="Arial"/>
          <w:b w:val="0"/>
          <w:i w:val="0"/>
          <w:color w:val="1F1F1F"/>
          <w:sz w:val="19"/>
        </w:rPr>
        <w:t>Complete this page for one real decision involving “Coach Early and Fairly.”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VI</w:t>
      </w:r>
    </w:p>
    <w:p>
      <w:pPr>
        <w:pStyle w:val="Heading1"/>
      </w:pPr>
      <w:r>
        <w:t>Keep the Right Employees</w:t>
      </w:r>
    </w:p>
    <w:p>
      <w:pPr>
        <w:spacing w:after="140" w:line="257" w:lineRule="auto"/>
      </w:pPr>
      <w:r>
        <w:rPr>
          <w:rFonts w:ascii="Arial" w:hAnsi="Arial"/>
          <w:b w:val="0"/>
          <w:i w:val="0"/>
          <w:color w:val="1F1F1F"/>
          <w:sz w:val="22"/>
        </w:rPr>
        <w:t>Show managers how fairness, scheduling, recognition, workload, growth, trust, and leadership behavior influence retention.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Address controllable working conditions without promising that every departure can or should be prevented.</w:t>
            </w:r>
          </w:p>
        </w:tc>
      </w:tr>
    </w:tbl>
    <w:p>
      <w:r>
        <w:br w:type="page"/>
      </w:r>
    </w:p>
    <w:p>
      <w:pPr>
        <w:pStyle w:val="Heading1"/>
      </w:pPr>
      <w:r>
        <w:t>Chapter 29</w:t>
      </w:r>
    </w:p>
    <w:p>
      <w:pPr>
        <w:pStyle w:val="Heading1"/>
      </w:pPr>
      <w:r>
        <w:t>Why Good Employees Stay</w:t>
      </w:r>
    </w:p>
    <w:p>
      <w:pPr>
        <w:spacing w:after="140" w:line="257" w:lineRule="auto"/>
      </w:pPr>
      <w:r>
        <w:rPr>
          <w:rFonts w:ascii="Arial" w:hAnsi="Arial"/>
          <w:b w:val="0"/>
          <w:i w:val="0"/>
          <w:color w:val="1F1F1F"/>
          <w:sz w:val="22"/>
        </w:rPr>
        <w:t>Examine fairness, competent leadership, workable schedules, tools, staffing, safety, respect, growth, recognition, and trust.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does the restaurant control about retention?</w:t>
            </w:r>
          </w:p>
        </w:tc>
      </w:tr>
    </w:tbl>
    <w:p>
      <w:pPr>
        <w:pStyle w:val="Heading2"/>
      </w:pPr>
      <w:r>
        <w:t>Why this chapter matters</w:t>
      </w:r>
    </w:p>
    <w:p>
      <w:pPr>
        <w:spacing w:after="140" w:line="257" w:lineRule="auto"/>
      </w:pPr>
      <w:r>
        <w:rPr>
          <w:rFonts w:ascii="Arial" w:hAnsi="Arial"/>
          <w:b w:val="0"/>
          <w:i w:val="0"/>
          <w:color w:val="1F1F1F"/>
          <w:sz w:val="20"/>
        </w:rPr>
        <w:t>In restaurant operations, retention and trust becomes unreliable when the decision lives only in memory or urgency. Address controllable working conditions without promising that every departure can or should be prevented.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“Why Good Employees Stay,” the written record should make those five points visible without exaggeration or labels.</w:t>
      </w:r>
    </w:p>
    <w:p>
      <w:pPr>
        <w:pStyle w:val="Heading2"/>
      </w:pPr>
      <w:r>
        <w:t>Care-first lens</w:t>
      </w:r>
    </w:p>
    <w:p>
      <w:pPr>
        <w:spacing w:after="140" w:line="257" w:lineRule="auto"/>
      </w:pPr>
      <w:r>
        <w:t>Look for conditions managers control: respect, clarity, fair treatment, learning, recognition, and workable leadership.</w:t>
      </w:r>
    </w:p>
    <w:p>
      <w:pPr>
        <w:pStyle w:val="Heading2"/>
      </w:pPr>
      <w:r>
        <w:t>Manager warning</w:t>
      </w:r>
    </w:p>
    <w:p>
      <w:pPr>
        <w:spacing w:after="140" w:line="257" w:lineRule="auto"/>
      </w:pPr>
      <w:r>
        <w:t>Do not reduce retention to pay alone or assume good employees will tolerate preventable disorder.</w:t>
      </w:r>
    </w:p>
    <w:p>
      <w:r>
        <w:br w:type="page"/>
      </w:r>
    </w:p>
    <w:p>
      <w:pPr>
        <w:pStyle w:val="Heading1"/>
      </w:pPr>
      <w:r>
        <w:t>Chapter 29 Field Guide  ....  120</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does the restaurant control about retention?</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Examine fairness, competent leadership, workable schedules, tools, staffing, safety, respect, growth, recognition, and trust.</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Favorite Candidate</w:t>
      </w:r>
    </w:p>
    <w:p>
      <w:pPr>
        <w:spacing w:after="140" w:line="257" w:lineRule="auto"/>
      </w:pPr>
      <w:r>
        <w:rPr>
          <w:rFonts w:ascii="Arial" w:hAnsi="Arial"/>
          <w:b w:val="0"/>
          <w:i w:val="0"/>
          <w:color w:val="1F1F1F"/>
          <w:sz w:val="22"/>
        </w:rPr>
        <w:t>One interviewer says the candidate “felt right” while the scorecard evidence is weaker.</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29.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29 Action Record  ....  120</w:t>
      </w:r>
    </w:p>
    <w:p>
      <w:pPr>
        <w:spacing w:after="140" w:line="257" w:lineRule="auto"/>
      </w:pPr>
      <w:r>
        <w:rPr>
          <w:rFonts w:ascii="Arial" w:hAnsi="Arial"/>
          <w:b w:val="0"/>
          <w:i w:val="0"/>
          <w:color w:val="1F1F1F"/>
          <w:sz w:val="19"/>
        </w:rPr>
        <w:t>Complete this page for one real decision involving “Why Good Employees Stay.”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30</w:t>
      </w:r>
    </w:p>
    <w:p>
      <w:pPr>
        <w:pStyle w:val="Heading1"/>
      </w:pPr>
      <w:r>
        <w:t>Use Stay Conversations Before Exit Interviews</w:t>
      </w:r>
    </w:p>
    <w:p>
      <w:pPr>
        <w:spacing w:after="140" w:line="257" w:lineRule="auto"/>
      </w:pPr>
      <w:r>
        <w:rPr>
          <w:rFonts w:ascii="Arial" w:hAnsi="Arial"/>
          <w:b w:val="0"/>
          <w:i w:val="0"/>
          <w:color w:val="1F1F1F"/>
          <w:sz w:val="22"/>
        </w:rPr>
        <w:t>Ask useful questions while the restaurant can still act.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would make this employee’s work more sustainable and successful?</w:t>
            </w:r>
          </w:p>
        </w:tc>
      </w:tr>
    </w:tbl>
    <w:p>
      <w:pPr>
        <w:pStyle w:val="Heading2"/>
      </w:pPr>
      <w:r>
        <w:t>Why this chapter matters</w:t>
      </w:r>
    </w:p>
    <w:p>
      <w:pPr>
        <w:spacing w:after="140" w:line="257" w:lineRule="auto"/>
      </w:pPr>
      <w:r>
        <w:rPr>
          <w:rFonts w:ascii="Arial" w:hAnsi="Arial"/>
          <w:b w:val="0"/>
          <w:i w:val="0"/>
          <w:color w:val="1F1F1F"/>
          <w:sz w:val="20"/>
        </w:rPr>
        <w:t>In restaurant operations, retention and trust becomes unreliable when the decision lives only in memory or urgency. Address controllable working conditions without promising that every departure can or should be prevented.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“Use Stay Conversations Before Exit Interviews,” the written record should make those five points visible without exaggeration or labels.</w:t>
      </w:r>
    </w:p>
    <w:p>
      <w:pPr>
        <w:pStyle w:val="Heading2"/>
      </w:pPr>
      <w:r>
        <w:t>Care-first lens</w:t>
      </w:r>
    </w:p>
    <w:p>
      <w:pPr>
        <w:spacing w:after="140" w:line="257" w:lineRule="auto"/>
      </w:pPr>
      <w:r>
        <w:t>Ask current employees what helps, what makes work harder, and what would cause them to leave.</w:t>
      </w:r>
    </w:p>
    <w:p>
      <w:pPr>
        <w:pStyle w:val="Heading2"/>
      </w:pPr>
      <w:r>
        <w:t>Manager warning</w:t>
      </w:r>
    </w:p>
    <w:p>
      <w:pPr>
        <w:spacing w:after="140" w:line="257" w:lineRule="auto"/>
      </w:pPr>
      <w:r>
        <w:t>Do not promise changes you will not own, track, or communicate back on.</w:t>
      </w:r>
    </w:p>
    <w:p>
      <w:r>
        <w:br w:type="page"/>
      </w:r>
    </w:p>
    <w:p>
      <w:pPr>
        <w:pStyle w:val="Heading1"/>
      </w:pPr>
      <w:r>
        <w:t>Chapter 30 Field Guide  ....  124</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would make this employee’s work more sustainable and successful?</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Ask useful questions while the restaurant can still act.</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Concern about Retaliation</w:t>
      </w:r>
    </w:p>
    <w:p>
      <w:pPr>
        <w:spacing w:after="140" w:line="257" w:lineRule="auto"/>
      </w:pPr>
      <w:r>
        <w:rPr>
          <w:rFonts w:ascii="Arial" w:hAnsi="Arial"/>
          <w:b w:val="0"/>
          <w:i w:val="0"/>
          <w:color w:val="1F1F1F"/>
          <w:sz w:val="22"/>
        </w:rPr>
        <w:t>An employee reports a problem but fears reduced hours or worse assignments.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30.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30 Action Record  ....  124</w:t>
      </w:r>
    </w:p>
    <w:p>
      <w:pPr>
        <w:spacing w:after="140" w:line="257" w:lineRule="auto"/>
      </w:pPr>
      <w:r>
        <w:rPr>
          <w:rFonts w:ascii="Arial" w:hAnsi="Arial"/>
          <w:b w:val="0"/>
          <w:i w:val="0"/>
          <w:color w:val="1F1F1F"/>
          <w:sz w:val="19"/>
        </w:rPr>
        <w:t>Complete this page for one real decision involving “Use Stay Conversations Before Exit Interviews.”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31</w:t>
      </w:r>
    </w:p>
    <w:p>
      <w:pPr>
        <w:pStyle w:val="Heading1"/>
      </w:pPr>
      <w:r>
        <w:t>Handle Concerns without Gossip or Retaliation</w:t>
      </w:r>
    </w:p>
    <w:p>
      <w:pPr>
        <w:spacing w:after="140" w:line="257" w:lineRule="auto"/>
      </w:pPr>
      <w:r>
        <w:rPr>
          <w:rFonts w:ascii="Arial" w:hAnsi="Arial"/>
          <w:b w:val="0"/>
          <w:i w:val="0"/>
          <w:color w:val="1F1F1F"/>
          <w:sz w:val="22"/>
        </w:rPr>
        <w:t>Provide safe routing, documented listening, impartial review, confidentiality limits, and protection against retaliation.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Where can employees take concerns, and what happens next?</w:t>
            </w:r>
          </w:p>
        </w:tc>
      </w:tr>
    </w:tbl>
    <w:p>
      <w:pPr>
        <w:pStyle w:val="Heading2"/>
      </w:pPr>
      <w:r>
        <w:t>Why this chapter matters</w:t>
      </w:r>
    </w:p>
    <w:p>
      <w:pPr>
        <w:spacing w:after="140" w:line="257" w:lineRule="auto"/>
      </w:pPr>
      <w:r>
        <w:rPr>
          <w:rFonts w:ascii="Arial" w:hAnsi="Arial"/>
          <w:b w:val="0"/>
          <w:i w:val="0"/>
          <w:color w:val="1F1F1F"/>
          <w:sz w:val="20"/>
        </w:rPr>
        <w:t>In restaurant operations, retention and trust becomes unreliable when the decision lives only in memory or urgency. Address controllable working conditions without promising that every departure can or should be prevented.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“Handle Concerns without Gossip or Retaliation,” the written record should make those five points visible without exaggeration or labels.</w:t>
      </w:r>
    </w:p>
    <w:p>
      <w:pPr>
        <w:pStyle w:val="Heading2"/>
      </w:pPr>
      <w:r>
        <w:t>Care-first lens</w:t>
      </w:r>
    </w:p>
    <w:p>
      <w:pPr>
        <w:spacing w:after="140" w:line="257" w:lineRule="auto"/>
      </w:pPr>
      <w:r>
        <w:t>Receive concerns privately, document the facts, protect against retaliation, and route them correctly.</w:t>
      </w:r>
    </w:p>
    <w:p>
      <w:pPr>
        <w:pStyle w:val="Heading2"/>
      </w:pPr>
      <w:r>
        <w:t>Manager warning</w:t>
      </w:r>
    </w:p>
    <w:p>
      <w:pPr>
        <w:spacing w:after="140" w:line="257" w:lineRule="auto"/>
      </w:pPr>
      <w:r>
        <w:t>Do not investigate through rumors or discuss a concern with people who do not need to know.</w:t>
      </w:r>
    </w:p>
    <w:p>
      <w:r>
        <w:br w:type="page"/>
      </w:r>
    </w:p>
    <w:p>
      <w:pPr>
        <w:pStyle w:val="Heading1"/>
      </w:pPr>
      <w:r>
        <w:t>Chapter 31 Field Guide  ....  128</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Where can employees take concerns, and what happens next?</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Provide safe routing, documented listening, impartial review, confidentiality limits, and protection against retaliation.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Good Person in the Wrong Role</w:t>
      </w:r>
    </w:p>
    <w:p>
      <w:pPr>
        <w:spacing w:after="140" w:line="257" w:lineRule="auto"/>
      </w:pPr>
      <w:r>
        <w:rPr>
          <w:rFonts w:ascii="Arial" w:hAnsi="Arial"/>
          <w:b w:val="0"/>
          <w:i w:val="0"/>
          <w:color w:val="1F1F1F"/>
          <w:sz w:val="22"/>
        </w:rPr>
        <w:t>The employee demonstrates care and effort but may not match the role’s actual conditions or schedule.</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31.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31 Action Record  ....  128</w:t>
      </w:r>
    </w:p>
    <w:p>
      <w:pPr>
        <w:spacing w:after="140" w:line="257" w:lineRule="auto"/>
      </w:pPr>
      <w:r>
        <w:rPr>
          <w:rFonts w:ascii="Arial" w:hAnsi="Arial"/>
          <w:b w:val="0"/>
          <w:i w:val="0"/>
          <w:color w:val="1F1F1F"/>
          <w:sz w:val="19"/>
        </w:rPr>
        <w:t>Complete this page for one real decision involving “Handle Concerns without Gossip or Retaliation.”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VII</w:t>
      </w:r>
    </w:p>
    <w:p>
      <w:pPr>
        <w:pStyle w:val="Heading1"/>
      </w:pPr>
      <w:r>
        <w:t>Coach Problems and Learn from Loss</w:t>
      </w:r>
    </w:p>
    <w:p>
      <w:pPr>
        <w:spacing w:after="140" w:line="257" w:lineRule="auto"/>
      </w:pPr>
      <w:r>
        <w:rPr>
          <w:rFonts w:ascii="Arial" w:hAnsi="Arial"/>
          <w:b w:val="0"/>
          <w:i w:val="0"/>
          <w:color w:val="1F1F1F"/>
          <w:sz w:val="22"/>
        </w:rPr>
        <w:t>Separate coaching, policy, corrective action, resignation, termination, and organizational learning.</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Keep facts, policy, privacy, authority, consistency, and employee voice in the same review.</w:t>
            </w:r>
          </w:p>
        </w:tc>
      </w:tr>
    </w:tbl>
    <w:p>
      <w:r>
        <w:br w:type="page"/>
      </w:r>
    </w:p>
    <w:p>
      <w:pPr>
        <w:pStyle w:val="Heading1"/>
      </w:pPr>
      <w:r>
        <w:t>Chapter 32</w:t>
      </w:r>
    </w:p>
    <w:p>
      <w:pPr>
        <w:pStyle w:val="Heading1"/>
      </w:pPr>
      <w:r>
        <w:t>Separate Coaching Corrective Action and Separation</w:t>
      </w:r>
    </w:p>
    <w:p>
      <w:pPr>
        <w:spacing w:after="140" w:line="257" w:lineRule="auto"/>
      </w:pPr>
      <w:r>
        <w:rPr>
          <w:rFonts w:ascii="Arial" w:hAnsi="Arial"/>
          <w:b w:val="0"/>
          <w:i w:val="0"/>
          <w:color w:val="1F1F1F"/>
          <w:sz w:val="22"/>
        </w:rPr>
        <w:t>Clarify purpose, authority, evidence, policy, consistency, escalation, and documentation.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Which process actually applies to the current problem?</w:t>
            </w:r>
          </w:p>
        </w:tc>
      </w:tr>
    </w:tbl>
    <w:p>
      <w:pPr>
        <w:pStyle w:val="Heading2"/>
      </w:pPr>
      <w:r>
        <w:t>Why this chapter matters</w:t>
      </w:r>
    </w:p>
    <w:p>
      <w:pPr>
        <w:spacing w:after="140" w:line="257" w:lineRule="auto"/>
      </w:pPr>
      <w:r>
        <w:rPr>
          <w:rFonts w:ascii="Arial" w:hAnsi="Arial"/>
          <w:b w:val="0"/>
          <w:i w:val="0"/>
          <w:color w:val="1F1F1F"/>
          <w:sz w:val="20"/>
        </w:rPr>
        <w:t>In restaurant operations, fair response and learning becomes unreliable when the decision lives only in memory or urgency. Keep facts, policy, privacy, authority, consistency, and employee voice in the same review.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“Separate Coaching Corrective Action and Separation,” the written record should make those five points visible without exaggeration or labels.</w:t>
      </w:r>
    </w:p>
    <w:p>
      <w:pPr>
        <w:pStyle w:val="Heading2"/>
      </w:pPr>
      <w:r>
        <w:t>Care-first lens</w:t>
      </w:r>
    </w:p>
    <w:p>
      <w:pPr>
        <w:spacing w:after="140" w:line="257" w:lineRule="auto"/>
      </w:pPr>
      <w:r>
        <w:t>Choose the response that matches the evidence, policy, seriousness, prior support, and authorized process.</w:t>
      </w:r>
    </w:p>
    <w:p>
      <w:pPr>
        <w:pStyle w:val="Heading2"/>
      </w:pPr>
      <w:r>
        <w:t>Manager warning</w:t>
      </w:r>
    </w:p>
    <w:p>
      <w:pPr>
        <w:spacing w:after="140" w:line="257" w:lineRule="auto"/>
      </w:pPr>
      <w:r>
        <w:t>Do not pre-decide the outcome before the facts and required review are complete.</w:t>
      </w:r>
    </w:p>
    <w:p>
      <w:r>
        <w:br w:type="page"/>
      </w:r>
    </w:p>
    <w:p>
      <w:pPr>
        <w:pStyle w:val="Heading1"/>
      </w:pPr>
      <w:r>
        <w:t>Chapter 32 Field Guide  ....  133</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Which process actually applies to the current problem?</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Clarify purpose, authority, evidence, policy, consistency, escalation, and documentation.</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Manager Who Skips Check Ins</w:t>
      </w:r>
    </w:p>
    <w:p>
      <w:pPr>
        <w:spacing w:after="140" w:line="257" w:lineRule="auto"/>
      </w:pPr>
      <w:r>
        <w:rPr>
          <w:rFonts w:ascii="Arial" w:hAnsi="Arial"/>
          <w:b w:val="0"/>
          <w:i w:val="0"/>
          <w:color w:val="1F1F1F"/>
          <w:sz w:val="22"/>
        </w:rPr>
        <w:t>New-hire meetings are marked complete without meaningful notes or follow-through.</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32.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32 Action Record  ....  133</w:t>
      </w:r>
    </w:p>
    <w:p>
      <w:pPr>
        <w:spacing w:after="140" w:line="257" w:lineRule="auto"/>
      </w:pPr>
      <w:r>
        <w:rPr>
          <w:rFonts w:ascii="Arial" w:hAnsi="Arial"/>
          <w:b w:val="0"/>
          <w:i w:val="0"/>
          <w:color w:val="1F1F1F"/>
          <w:sz w:val="19"/>
        </w:rPr>
        <w:t>Complete this page for one real decision involving “Separate Coaching Corrective Action and Separation.”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33</w:t>
      </w:r>
    </w:p>
    <w:p>
      <w:pPr>
        <w:pStyle w:val="Heading1"/>
      </w:pPr>
      <w:r>
        <w:t>Learn from Every Departure</w:t>
      </w:r>
    </w:p>
    <w:p>
      <w:pPr>
        <w:spacing w:after="140" w:line="257" w:lineRule="auto"/>
      </w:pPr>
      <w:r>
        <w:rPr>
          <w:rFonts w:ascii="Arial" w:hAnsi="Arial"/>
          <w:b w:val="0"/>
          <w:i w:val="0"/>
          <w:color w:val="1F1F1F"/>
          <w:sz w:val="22"/>
        </w:rPr>
        <w:t>Use respectful exit information without treating one account as the whole truth.</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can the organization learn without arguing with the person leaving?</w:t>
            </w:r>
          </w:p>
        </w:tc>
      </w:tr>
    </w:tbl>
    <w:p>
      <w:pPr>
        <w:pStyle w:val="Heading2"/>
      </w:pPr>
      <w:r>
        <w:t>Why this chapter matters</w:t>
      </w:r>
    </w:p>
    <w:p>
      <w:pPr>
        <w:spacing w:after="140" w:line="257" w:lineRule="auto"/>
      </w:pPr>
      <w:r>
        <w:rPr>
          <w:rFonts w:ascii="Arial" w:hAnsi="Arial"/>
          <w:b w:val="0"/>
          <w:i w:val="0"/>
          <w:color w:val="1F1F1F"/>
          <w:sz w:val="20"/>
        </w:rPr>
        <w:t>In restaurant operations, fair response and learning becomes unreliable when the decision lives only in memory or urgency. Keep facts, policy, privacy, authority, consistency, and employee voice in the same review.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“Learn from Every Departure,” the written record should make those five points visible without exaggeration or labels.</w:t>
      </w:r>
    </w:p>
    <w:p>
      <w:pPr>
        <w:pStyle w:val="Heading2"/>
      </w:pPr>
      <w:r>
        <w:t>Care-first lens</w:t>
      </w:r>
    </w:p>
    <w:p>
      <w:pPr>
        <w:spacing w:after="140" w:line="257" w:lineRule="auto"/>
      </w:pPr>
      <w:r>
        <w:t>Capture what the departure reveals about the job, supervision, training, schedule, or system.</w:t>
      </w:r>
    </w:p>
    <w:p>
      <w:pPr>
        <w:pStyle w:val="Heading2"/>
      </w:pPr>
      <w:r>
        <w:t>Manager warning</w:t>
      </w:r>
    </w:p>
    <w:p>
      <w:pPr>
        <w:spacing w:after="140" w:line="257" w:lineRule="auto"/>
      </w:pPr>
      <w:r>
        <w:t>Do not use an exit conversation to defend the restaurant or pressure the person to soften the truth.</w:t>
      </w:r>
    </w:p>
    <w:p>
      <w:r>
        <w:br w:type="page"/>
      </w:r>
    </w:p>
    <w:p>
      <w:pPr>
        <w:pStyle w:val="Heading1"/>
      </w:pPr>
      <w:r>
        <w:t>Chapter 33 Field Guide  ....  137</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can the organization learn without arguing with the person leaving?</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Use respectful exit information without treating one account as the whole truth.</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Friday Night Vacancy</w:t>
      </w:r>
    </w:p>
    <w:p>
      <w:pPr>
        <w:spacing w:after="140" w:line="257" w:lineRule="auto"/>
      </w:pPr>
      <w:r>
        <w:rPr>
          <w:rFonts w:ascii="Arial" w:hAnsi="Arial"/>
          <w:b w:val="0"/>
          <w:i w:val="0"/>
          <w:color w:val="1F1F1F"/>
          <w:sz w:val="22"/>
        </w:rPr>
        <w:t>A manager wants to hire the first available applicant without a role-success profile.</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33.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33 Action Record  ....  137</w:t>
      </w:r>
    </w:p>
    <w:p>
      <w:pPr>
        <w:spacing w:after="140" w:line="257" w:lineRule="auto"/>
      </w:pPr>
      <w:r>
        <w:rPr>
          <w:rFonts w:ascii="Arial" w:hAnsi="Arial"/>
          <w:b w:val="0"/>
          <w:i w:val="0"/>
          <w:color w:val="1F1F1F"/>
          <w:sz w:val="19"/>
        </w:rPr>
        <w:t>Complete this page for one real decision involving “Learn from Every Departure.”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34</w:t>
      </w:r>
    </w:p>
    <w:p>
      <w:pPr>
        <w:pStyle w:val="Heading1"/>
      </w:pPr>
      <w:r>
        <w:t>Measure Turnover without Hiding the Story</w:t>
      </w:r>
    </w:p>
    <w:p>
      <w:pPr>
        <w:spacing w:after="140" w:line="257" w:lineRule="auto"/>
      </w:pPr>
      <w:r>
        <w:rPr>
          <w:rFonts w:ascii="Arial" w:hAnsi="Arial"/>
          <w:b w:val="0"/>
          <w:i w:val="0"/>
          <w:color w:val="1F1F1F"/>
          <w:sz w:val="22"/>
        </w:rPr>
        <w:t>Track early turnover, regrettable loss, vacancy days, source quality, first-90-day retention, and pattern evidence.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Which numbers reveal a fixable operating problem?</w:t>
            </w:r>
          </w:p>
        </w:tc>
      </w:tr>
    </w:tbl>
    <w:p>
      <w:pPr>
        <w:pStyle w:val="Heading2"/>
      </w:pPr>
      <w:r>
        <w:t>Why this chapter matters</w:t>
      </w:r>
    </w:p>
    <w:p>
      <w:pPr>
        <w:spacing w:after="140" w:line="257" w:lineRule="auto"/>
      </w:pPr>
      <w:r>
        <w:rPr>
          <w:rFonts w:ascii="Arial" w:hAnsi="Arial"/>
          <w:b w:val="0"/>
          <w:i w:val="0"/>
          <w:color w:val="1F1F1F"/>
          <w:sz w:val="20"/>
        </w:rPr>
        <w:t>In restaurant operations, fair response and learning becomes unreliable when the decision lives only in memory or urgency. Keep facts, policy, privacy, authority, consistency, and employee voice in the same review.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“Measure Turnover without Hiding the Story,” the written record should make those five points visible without exaggeration or labels.</w:t>
      </w:r>
    </w:p>
    <w:p>
      <w:pPr>
        <w:pStyle w:val="Heading2"/>
      </w:pPr>
      <w:r>
        <w:t>Care-first lens</w:t>
      </w:r>
    </w:p>
    <w:p>
      <w:pPr>
        <w:spacing w:after="140" w:line="257" w:lineRule="auto"/>
      </w:pPr>
      <w:r>
        <w:t>Track departures by role, timing, reason pattern, and operating condition so leadership can see the cause.</w:t>
      </w:r>
    </w:p>
    <w:p>
      <w:pPr>
        <w:pStyle w:val="Heading2"/>
      </w:pPr>
      <w:r>
        <w:t>Manager warning</w:t>
      </w:r>
    </w:p>
    <w:p>
      <w:pPr>
        <w:spacing w:after="140" w:line="257" w:lineRule="auto"/>
      </w:pPr>
      <w:r>
        <w:t>Do not celebrate a lower number if the record hides transfers, short-tenure loss, or avoidable patterns.</w:t>
      </w:r>
    </w:p>
    <w:p>
      <w:r>
        <w:br w:type="page"/>
      </w:r>
    </w:p>
    <w:p>
      <w:pPr>
        <w:pStyle w:val="Heading1"/>
      </w:pPr>
      <w:r>
        <w:t>Chapter 34 Field Guide  ....  141</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Which numbers reveal a fixable operating problem?</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Track early turnover, regrettable loss, vacancy days, source quality, first-90-day retention, and pattern evidence.</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Experienced Candidate</w:t>
      </w:r>
    </w:p>
    <w:p>
      <w:pPr>
        <w:spacing w:after="140" w:line="257" w:lineRule="auto"/>
      </w:pPr>
      <w:r>
        <w:rPr>
          <w:rFonts w:ascii="Arial" w:hAnsi="Arial"/>
          <w:b w:val="0"/>
          <w:i w:val="0"/>
          <w:color w:val="1F1F1F"/>
          <w:sz w:val="22"/>
        </w:rPr>
        <w:t>Strong experience is paired with blame, disrespect, or resistance to standards.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34.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34 Action Record  ....  141</w:t>
      </w:r>
    </w:p>
    <w:p>
      <w:pPr>
        <w:spacing w:after="140" w:line="257" w:lineRule="auto"/>
      </w:pPr>
      <w:r>
        <w:rPr>
          <w:rFonts w:ascii="Arial" w:hAnsi="Arial"/>
          <w:b w:val="0"/>
          <w:i w:val="0"/>
          <w:color w:val="1F1F1F"/>
          <w:sz w:val="19"/>
        </w:rPr>
        <w:t>Complete this page for one real decision involving “Measure Turnover without Hiding the Story.”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Part VIII</w:t>
      </w:r>
    </w:p>
    <w:p>
      <w:pPr>
        <w:pStyle w:val="Heading1"/>
      </w:pPr>
      <w:r>
        <w:t>Install and Hold the System</w:t>
      </w:r>
    </w:p>
    <w:p>
      <w:pPr>
        <w:spacing w:after="140" w:line="257" w:lineRule="auto"/>
      </w:pPr>
      <w:r>
        <w:rPr>
          <w:rFonts w:ascii="Arial" w:hAnsi="Arial"/>
          <w:b w:val="0"/>
          <w:i w:val="0"/>
          <w:color w:val="1F1F1F"/>
          <w:sz w:val="22"/>
        </w:rPr>
        <w:t>Use measures, review rhythms, manager sign-off, 30-day or 60-day installation, and controlled forms to make the process repeatable.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Part standard  </w:t>
            </w:r>
            <w:r>
              <w:rPr>
                <w:rFonts w:ascii="Arial" w:hAnsi="Arial"/>
                <w:b w:val="0"/>
                <w:i w:val="0"/>
                <w:color w:val="1F1F1F"/>
                <w:sz w:val="19"/>
              </w:rPr>
              <w:t>Use a small tool set, a named owner, weekly evidence, correction, and a decision gate.</w:t>
            </w:r>
          </w:p>
        </w:tc>
      </w:tr>
    </w:tbl>
    <w:p>
      <w:r>
        <w:br w:type="page"/>
      </w:r>
    </w:p>
    <w:p>
      <w:pPr>
        <w:pStyle w:val="Heading1"/>
      </w:pPr>
      <w:r>
        <w:t>Chapter 35</w:t>
      </w:r>
    </w:p>
    <w:p>
      <w:pPr>
        <w:pStyle w:val="Heading1"/>
      </w:pPr>
      <w:r>
        <w:t>Review Hiring and Retention Every Week</w:t>
      </w:r>
    </w:p>
    <w:p>
      <w:pPr>
        <w:spacing w:after="140" w:line="257" w:lineRule="auto"/>
      </w:pPr>
      <w:r>
        <w:rPr>
          <w:rFonts w:ascii="Arial" w:hAnsi="Arial"/>
          <w:b w:val="0"/>
          <w:i w:val="0"/>
          <w:color w:val="1F1F1F"/>
          <w:sz w:val="22"/>
        </w:rPr>
        <w:t>Create a short management rhythm for vacancies, candidates, starts, check-ins, risks, ownership, and deadlines.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What must leaders review before another week passes?</w:t>
            </w:r>
          </w:p>
        </w:tc>
      </w:tr>
    </w:tbl>
    <w:p>
      <w:pPr>
        <w:pStyle w:val="Heading2"/>
      </w:pPr>
      <w:r>
        <w:t>Why this chapter matters</w:t>
      </w:r>
    </w:p>
    <w:p>
      <w:pPr>
        <w:spacing w:after="140" w:line="257" w:lineRule="auto"/>
      </w:pPr>
      <w:r>
        <w:rPr>
          <w:rFonts w:ascii="Arial" w:hAnsi="Arial"/>
          <w:b w:val="0"/>
          <w:i w:val="0"/>
          <w:color w:val="1F1F1F"/>
          <w:sz w:val="20"/>
        </w:rPr>
        <w:t>In restaurant operations, installation and sustainment becomes unreliable when the decision lives only in memory or urgency. Use a small tool set, a named owner, weekly evidence, correction, and a decision gate.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“Review Hiring and Retention Every Week,” the written record should make those five points visible without exaggeration or labels.</w:t>
      </w:r>
    </w:p>
    <w:p>
      <w:pPr>
        <w:pStyle w:val="Heading2"/>
      </w:pPr>
      <w:r>
        <w:t>Care-first lens</w:t>
      </w:r>
    </w:p>
    <w:p>
      <w:pPr>
        <w:spacing w:after="140" w:line="257" w:lineRule="auto"/>
      </w:pPr>
      <w:r>
        <w:t>Review pipeline, open roles, early-tenure risk, concerns, coaching, and ownership in one short meeting.</w:t>
      </w:r>
    </w:p>
    <w:p>
      <w:pPr>
        <w:pStyle w:val="Heading2"/>
      </w:pPr>
      <w:r>
        <w:t>Manager warning</w:t>
      </w:r>
    </w:p>
    <w:p>
      <w:pPr>
        <w:spacing w:after="140" w:line="257" w:lineRule="auto"/>
      </w:pPr>
      <w:r>
        <w:t>Do not turn the weekly review into a status ritual without decisions, owners, and verification.</w:t>
      </w:r>
    </w:p>
    <w:p>
      <w:r>
        <w:br w:type="page"/>
      </w:r>
    </w:p>
    <w:p>
      <w:pPr>
        <w:pStyle w:val="Heading1"/>
      </w:pPr>
      <w:r>
        <w:t>Chapter 35 Field Guide  ....  146</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What must leaders review before another week passes?</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Create a short management rhythm for vacancies, candidates, starts, check-ins, risks, ownership, and deadlines.</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Quiet Candidate</w:t>
      </w:r>
    </w:p>
    <w:p>
      <w:pPr>
        <w:spacing w:after="140" w:line="257" w:lineRule="auto"/>
      </w:pPr>
      <w:r>
        <w:rPr>
          <w:rFonts w:ascii="Arial" w:hAnsi="Arial"/>
          <w:b w:val="0"/>
          <w:i w:val="0"/>
          <w:color w:val="1F1F1F"/>
          <w:sz w:val="22"/>
        </w:rPr>
        <w:t>A reserved candidate provides strong evidence but does not perform socially like the manager expects.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35.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35 Action Record  ....  146</w:t>
      </w:r>
    </w:p>
    <w:p>
      <w:pPr>
        <w:spacing w:after="140" w:line="257" w:lineRule="auto"/>
      </w:pPr>
      <w:r>
        <w:rPr>
          <w:rFonts w:ascii="Arial" w:hAnsi="Arial"/>
          <w:b w:val="0"/>
          <w:i w:val="0"/>
          <w:color w:val="1F1F1F"/>
          <w:sz w:val="19"/>
        </w:rPr>
        <w:t>Complete this page for one real decision involving “Review Hiring and Retention Every Week.”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Chapter 36</w:t>
      </w:r>
    </w:p>
    <w:p>
      <w:pPr>
        <w:pStyle w:val="Heading1"/>
      </w:pPr>
      <w:r>
        <w:t>Install the System in 30 or 60 Days</w:t>
      </w:r>
    </w:p>
    <w:p>
      <w:pPr>
        <w:spacing w:after="140" w:line="257" w:lineRule="auto"/>
      </w:pPr>
      <w:r>
        <w:rPr>
          <w:rFonts w:ascii="Arial" w:hAnsi="Arial"/>
          <w:b w:val="0"/>
          <w:i w:val="0"/>
          <w:color w:val="1F1F1F"/>
          <w:sz w:val="22"/>
        </w:rPr>
        <w:t>Begin with one problem, one owner, three to five tools, evidence, training, review, correction, and a final decision gate.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The manager’s question  </w:t>
            </w:r>
            <w:r>
              <w:rPr>
                <w:rFonts w:ascii="Arial" w:hAnsi="Arial"/>
                <w:b w:val="0"/>
                <w:i w:val="0"/>
                <w:color w:val="1F1F1F"/>
                <w:sz w:val="19"/>
              </w:rPr>
              <w:t>How do we make this process hold after launch?</w:t>
            </w:r>
          </w:p>
        </w:tc>
      </w:tr>
    </w:tbl>
    <w:p>
      <w:pPr>
        <w:pStyle w:val="Heading2"/>
      </w:pPr>
      <w:r>
        <w:t>Why this chapter matters</w:t>
      </w:r>
    </w:p>
    <w:p>
      <w:pPr>
        <w:spacing w:after="140" w:line="257" w:lineRule="auto"/>
      </w:pPr>
      <w:r>
        <w:rPr>
          <w:rFonts w:ascii="Arial" w:hAnsi="Arial"/>
          <w:b w:val="0"/>
          <w:i w:val="0"/>
          <w:color w:val="1F1F1F"/>
          <w:sz w:val="20"/>
        </w:rPr>
        <w:t>In restaurant operations, installation and sustainment becomes unreliable when the decision lives only in memory or urgency. Use a small tool set, a named owner, weekly evidence, correction, and a decision gate. The objective here is not extra paperwork; it is a decision another authorized leader can understand, test, and improve.</w:t>
      </w:r>
    </w:p>
    <w:p>
      <w:pPr>
        <w:spacing w:after="140" w:line="257" w:lineRule="auto"/>
      </w:pPr>
      <w:r>
        <w:rPr>
          <w:rFonts w:ascii="Arial" w:hAnsi="Arial"/>
          <w:b w:val="0"/>
          <w:i w:val="0"/>
          <w:color w:val="1F1F1F"/>
          <w:sz w:val="20"/>
        </w:rPr>
        <w:t>The practical test is whether the manager can explain what was known, what was missing, which job standard applied, who had authority, and what would verify the next step. For “Install the System in 30 or 60 Days,” the written record should make those five points visible without exaggeration or labels.</w:t>
      </w:r>
    </w:p>
    <w:p>
      <w:pPr>
        <w:pStyle w:val="Heading2"/>
      </w:pPr>
      <w:r>
        <w:t>Care-first lens</w:t>
      </w:r>
    </w:p>
    <w:p>
      <w:pPr>
        <w:spacing w:after="140" w:line="257" w:lineRule="auto"/>
      </w:pPr>
      <w:r>
        <w:t>Install the smallest workable routine first, then expand only after it is being used and verified.</w:t>
      </w:r>
    </w:p>
    <w:p>
      <w:pPr>
        <w:pStyle w:val="Heading2"/>
      </w:pPr>
      <w:r>
        <w:t>Manager warning</w:t>
      </w:r>
    </w:p>
    <w:p>
      <w:pPr>
        <w:spacing w:after="140" w:line="257" w:lineRule="auto"/>
      </w:pPr>
      <w:r>
        <w:t>Do not call the system installed because forms were distributed or a meeting was held.</w:t>
      </w:r>
    </w:p>
    <w:p>
      <w:r>
        <w:br w:type="page"/>
      </w:r>
    </w:p>
    <w:p>
      <w:pPr>
        <w:pStyle w:val="Heading1"/>
      </w:pPr>
      <w:r>
        <w:t>Chapter 36 Field Guide  ....  150</w:t>
      </w:r>
    </w:p>
    <w:p>
      <w:pPr>
        <w:pStyle w:val="Heading2"/>
      </w:pPr>
      <w:r>
        <w:t>Use this sequence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088"/>
            <w:shd w:fill="333333"/>
            <w:vAlign w:val="center"/>
          </w:tcPr>
          <w:p>
            <w:r>
              <w:rPr>
                <w:rFonts w:ascii="Arial" w:hAnsi="Arial"/>
                <w:b/>
                <w:i w:val="0"/>
                <w:color w:val="FFFFFF"/>
                <w:sz w:val="17"/>
              </w:rPr>
              <w:t>Step</w:t>
            </w:r>
          </w:p>
        </w:tc>
        <w:tc>
          <w:tcPr>
            <w:tcW w:type="dxa" w:w="7416"/>
            <w:shd w:fill="333333"/>
            <w:vAlign w:val="center"/>
          </w:tcPr>
          <w:p>
            <w:r>
              <w:rPr>
                <w:rFonts w:ascii="Arial" w:hAnsi="Arial"/>
                <w:b/>
                <w:i w:val="0"/>
                <w:color w:val="FFFFFF"/>
                <w:sz w:val="17"/>
              </w:rPr>
              <w:t>Working instruction</w:t>
            </w:r>
          </w:p>
        </w:tc>
      </w:tr>
      <w:tr>
        <w:trPr>
          <w:cantSplit w:val="true"/>
        </w:trPr>
        <w:tc>
          <w:tcPr>
            <w:tcW w:type="dxa" w:w="2088"/>
            <w:vAlign w:val="center"/>
          </w:tcPr>
          <w:p>
            <w:pPr>
              <w:spacing w:after="0"/>
            </w:pPr>
            <w:r>
              <w:rPr>
                <w:rFonts w:ascii="Arial" w:hAnsi="Arial"/>
                <w:b w:val="0"/>
                <w:i w:val="0"/>
                <w:color w:val="1F1F1F"/>
                <w:sz w:val="18"/>
              </w:rPr>
              <w:t>1. Name the decision</w:t>
            </w:r>
          </w:p>
        </w:tc>
        <w:tc>
          <w:tcPr>
            <w:tcW w:type="dxa" w:w="7416"/>
            <w:vAlign w:val="center"/>
          </w:tcPr>
          <w:p>
            <w:pPr>
              <w:spacing w:after="0"/>
            </w:pPr>
            <w:r>
              <w:rPr>
                <w:rFonts w:ascii="Arial" w:hAnsi="Arial"/>
                <w:b w:val="0"/>
                <w:i w:val="0"/>
                <w:color w:val="1F1F1F"/>
                <w:sz w:val="18"/>
              </w:rPr>
              <w:t>How do we make this process hold after launch?</w:t>
            </w:r>
          </w:p>
        </w:tc>
      </w:tr>
      <w:tr>
        <w:trPr>
          <w:cantSplit w:val="true"/>
        </w:trPr>
        <w:tc>
          <w:tcPr>
            <w:tcW w:type="dxa" w:w="2088"/>
            <w:vAlign w:val="center"/>
            <w:shd w:fill="F6F6F6"/>
          </w:tcPr>
          <w:p>
            <w:pPr>
              <w:spacing w:after="0"/>
            </w:pPr>
            <w:r>
              <w:rPr>
                <w:rFonts w:ascii="Arial" w:hAnsi="Arial"/>
                <w:b w:val="0"/>
                <w:i w:val="0"/>
                <w:color w:val="1F1F1F"/>
                <w:sz w:val="18"/>
              </w:rPr>
              <w:t>2. Separate facts</w:t>
            </w:r>
          </w:p>
        </w:tc>
        <w:tc>
          <w:tcPr>
            <w:tcW w:type="dxa" w:w="7416"/>
            <w:vAlign w:val="center"/>
            <w:shd w:fill="F6F6F6"/>
          </w:tcPr>
          <w:p>
            <w:pPr>
              <w:spacing w:after="0"/>
            </w:pPr>
            <w:r>
              <w:rPr>
                <w:rFonts w:ascii="Arial" w:hAnsi="Arial"/>
                <w:b w:val="0"/>
                <w:i w:val="0"/>
                <w:color w:val="1F1F1F"/>
                <w:sz w:val="18"/>
              </w:rPr>
              <w:t>List direct observations, records, and candidate or employee statements. Do not mix inference into the fact column.</w:t>
            </w:r>
          </w:p>
        </w:tc>
      </w:tr>
      <w:tr>
        <w:trPr>
          <w:cantSplit w:val="true"/>
        </w:trPr>
        <w:tc>
          <w:tcPr>
            <w:tcW w:type="dxa" w:w="2088"/>
            <w:vAlign w:val="center"/>
          </w:tcPr>
          <w:p>
            <w:pPr>
              <w:spacing w:after="0"/>
            </w:pPr>
            <w:r>
              <w:rPr>
                <w:rFonts w:ascii="Arial" w:hAnsi="Arial"/>
                <w:b w:val="0"/>
                <w:i w:val="0"/>
                <w:color w:val="1F1F1F"/>
                <w:sz w:val="18"/>
              </w:rPr>
              <w:t>3. Apply the standard</w:t>
            </w:r>
          </w:p>
        </w:tc>
        <w:tc>
          <w:tcPr>
            <w:tcW w:type="dxa" w:w="7416"/>
            <w:vAlign w:val="center"/>
          </w:tcPr>
          <w:p>
            <w:pPr>
              <w:spacing w:after="0"/>
            </w:pPr>
            <w:r>
              <w:rPr>
                <w:rFonts w:ascii="Arial" w:hAnsi="Arial"/>
                <w:b w:val="0"/>
                <w:i w:val="0"/>
                <w:color w:val="1F1F1F"/>
                <w:sz w:val="18"/>
              </w:rPr>
              <w:t>Begin with one problem, one owner, three to five tools, evidence, training, review, correction, and a final decision gate.</w:t>
            </w:r>
          </w:p>
        </w:tc>
      </w:tr>
      <w:tr>
        <w:trPr>
          <w:cantSplit w:val="true"/>
        </w:trPr>
        <w:tc>
          <w:tcPr>
            <w:tcW w:type="dxa" w:w="2088"/>
            <w:vAlign w:val="center"/>
            <w:shd w:fill="F6F6F6"/>
          </w:tcPr>
          <w:p>
            <w:pPr>
              <w:spacing w:after="0"/>
            </w:pPr>
            <w:r>
              <w:rPr>
                <w:rFonts w:ascii="Arial" w:hAnsi="Arial"/>
                <w:b w:val="0"/>
                <w:i w:val="0"/>
                <w:color w:val="1F1F1F"/>
                <w:sz w:val="18"/>
              </w:rPr>
              <w:t>4. Identify missing evidence</w:t>
            </w:r>
          </w:p>
        </w:tc>
        <w:tc>
          <w:tcPr>
            <w:tcW w:type="dxa" w:w="7416"/>
            <w:vAlign w:val="center"/>
            <w:shd w:fill="F6F6F6"/>
          </w:tcPr>
          <w:p>
            <w:pPr>
              <w:spacing w:after="0"/>
            </w:pPr>
            <w:r>
              <w:rPr>
                <w:rFonts w:ascii="Arial" w:hAnsi="Arial"/>
                <w:b w:val="0"/>
                <w:i w:val="0"/>
                <w:color w:val="1F1F1F"/>
                <w:sz w:val="18"/>
              </w:rPr>
              <w:t>Ask only job-related follow-up questions or use an approved verification step.</w:t>
            </w:r>
          </w:p>
        </w:tc>
      </w:tr>
      <w:tr>
        <w:trPr>
          <w:cantSplit w:val="true"/>
        </w:trPr>
        <w:tc>
          <w:tcPr>
            <w:tcW w:type="dxa" w:w="2088"/>
            <w:vAlign w:val="center"/>
          </w:tcPr>
          <w:p>
            <w:pPr>
              <w:spacing w:after="0"/>
            </w:pPr>
            <w:r>
              <w:rPr>
                <w:rFonts w:ascii="Arial" w:hAnsi="Arial"/>
                <w:b w:val="0"/>
                <w:i w:val="0"/>
                <w:color w:val="1F1F1F"/>
                <w:sz w:val="18"/>
              </w:rPr>
              <w:t>5. Choose the next step</w:t>
            </w:r>
          </w:p>
        </w:tc>
        <w:tc>
          <w:tcPr>
            <w:tcW w:type="dxa" w:w="7416"/>
            <w:vAlign w:val="center"/>
          </w:tcPr>
          <w:p>
            <w:pPr>
              <w:spacing w:after="0"/>
            </w:pPr>
            <w:r>
              <w:rPr>
                <w:rFonts w:ascii="Arial" w:hAnsi="Arial"/>
                <w:b w:val="0"/>
                <w:i w:val="0"/>
                <w:color w:val="1F1F1F"/>
                <w:sz w:val="18"/>
              </w:rPr>
              <w:t>Record the owner, authority, due date, communication, and verification method.</w:t>
            </w:r>
          </w:p>
        </w:tc>
      </w:tr>
      <w:tr>
        <w:trPr>
          <w:cantSplit w:val="true"/>
        </w:trPr>
        <w:tc>
          <w:tcPr>
            <w:tcW w:type="dxa" w:w="2088"/>
            <w:vAlign w:val="center"/>
            <w:shd w:fill="F6F6F6"/>
          </w:tcPr>
          <w:p>
            <w:pPr>
              <w:spacing w:after="0"/>
            </w:pPr>
            <w:r>
              <w:rPr>
                <w:rFonts w:ascii="Arial" w:hAnsi="Arial"/>
                <w:b w:val="0"/>
                <w:i w:val="0"/>
                <w:color w:val="1F1F1F"/>
                <w:sz w:val="18"/>
              </w:rPr>
              <w:t>6. Review the result</w:t>
            </w:r>
          </w:p>
        </w:tc>
        <w:tc>
          <w:tcPr>
            <w:tcW w:type="dxa" w:w="7416"/>
            <w:vAlign w:val="center"/>
            <w:shd w:fill="F6F6F6"/>
          </w:tcPr>
          <w:p>
            <w:pPr>
              <w:spacing w:after="0"/>
            </w:pPr>
            <w:r>
              <w:rPr>
                <w:rFonts w:ascii="Arial" w:hAnsi="Arial"/>
                <w:b w:val="0"/>
                <w:i w:val="0"/>
                <w:color w:val="1F1F1F"/>
                <w:sz w:val="18"/>
              </w:rPr>
              <w:t>Decide whether the process worked, needs correction, or requires escalation.</w:t>
            </w:r>
          </w:p>
        </w:tc>
      </w:tr>
    </w:tbl>
    <w:p>
      <w:pPr>
        <w:pStyle w:val="Heading2"/>
      </w:pPr>
      <w:r>
        <w:t>Evidence quality</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4752"/>
            <w:shd w:fill="333333"/>
            <w:vAlign w:val="center"/>
          </w:tcPr>
          <w:p>
            <w:r>
              <w:rPr>
                <w:rFonts w:ascii="Arial" w:hAnsi="Arial"/>
                <w:b/>
                <w:i w:val="0"/>
                <w:color w:val="FFFFFF"/>
                <w:sz w:val="17"/>
              </w:rPr>
              <w:t>Strong evidence</w:t>
            </w:r>
          </w:p>
        </w:tc>
        <w:tc>
          <w:tcPr>
            <w:tcW w:type="dxa" w:w="4752"/>
            <w:shd w:fill="333333"/>
            <w:vAlign w:val="center"/>
          </w:tcPr>
          <w:p>
            <w:r>
              <w:rPr>
                <w:rFonts w:ascii="Arial" w:hAnsi="Arial"/>
                <w:b/>
                <w:i w:val="0"/>
                <w:color w:val="FFFFFF"/>
                <w:sz w:val="17"/>
              </w:rPr>
              <w:t>Weak substitute</w:t>
            </w:r>
          </w:p>
        </w:tc>
      </w:tr>
      <w:tr>
        <w:trPr>
          <w:cantSplit w:val="true"/>
        </w:trPr>
        <w:tc>
          <w:tcPr>
            <w:tcW w:type="dxa" w:w="4752"/>
            <w:vAlign w:val="center"/>
          </w:tcPr>
          <w:p>
            <w:pPr>
              <w:spacing w:after="0"/>
            </w:pPr>
            <w:r>
              <w:rPr>
                <w:rFonts w:ascii="Arial" w:hAnsi="Arial"/>
                <w:b w:val="0"/>
                <w:i w:val="0"/>
                <w:color w:val="1F1F1F"/>
                <w:sz w:val="17"/>
              </w:rPr>
              <w:t>Specific behavior, setting, action, result, and learning</w:t>
            </w:r>
          </w:p>
        </w:tc>
        <w:tc>
          <w:tcPr>
            <w:tcW w:type="dxa" w:w="4752"/>
            <w:vAlign w:val="center"/>
          </w:tcPr>
          <w:p>
            <w:pPr>
              <w:spacing w:after="0"/>
            </w:pPr>
            <w:r>
              <w:rPr>
                <w:rFonts w:ascii="Arial" w:hAnsi="Arial"/>
                <w:b w:val="0"/>
                <w:i w:val="0"/>
                <w:color w:val="1F1F1F"/>
                <w:sz w:val="17"/>
              </w:rPr>
              <w:t>A label such as “hard worker” or “bad attitude”</w:t>
            </w:r>
          </w:p>
        </w:tc>
      </w:tr>
      <w:tr>
        <w:trPr>
          <w:cantSplit w:val="true"/>
        </w:trPr>
        <w:tc>
          <w:tcPr>
            <w:tcW w:type="dxa" w:w="4752"/>
            <w:vAlign w:val="center"/>
            <w:shd w:fill="F6F6F6"/>
          </w:tcPr>
          <w:p>
            <w:pPr>
              <w:spacing w:after="0"/>
            </w:pPr>
            <w:r>
              <w:rPr>
                <w:rFonts w:ascii="Arial" w:hAnsi="Arial"/>
                <w:b w:val="0"/>
                <w:i w:val="0"/>
                <w:color w:val="1F1F1F"/>
                <w:sz w:val="17"/>
              </w:rPr>
              <w:t>Comparable job-related response or approved work sample</w:t>
            </w:r>
          </w:p>
        </w:tc>
        <w:tc>
          <w:tcPr>
            <w:tcW w:type="dxa" w:w="4752"/>
            <w:vAlign w:val="center"/>
            <w:shd w:fill="F6F6F6"/>
          </w:tcPr>
          <w:p>
            <w:pPr>
              <w:spacing w:after="0"/>
            </w:pPr>
            <w:r>
              <w:rPr>
                <w:rFonts w:ascii="Arial" w:hAnsi="Arial"/>
                <w:b w:val="0"/>
                <w:i w:val="0"/>
                <w:color w:val="1F1F1F"/>
                <w:sz w:val="17"/>
              </w:rPr>
              <w:t>Confidence, charm, familiarity, or personal similarity</w:t>
            </w:r>
          </w:p>
        </w:tc>
      </w:tr>
      <w:tr>
        <w:trPr>
          <w:cantSplit w:val="true"/>
        </w:trPr>
        <w:tc>
          <w:tcPr>
            <w:tcW w:type="dxa" w:w="4752"/>
            <w:vAlign w:val="center"/>
          </w:tcPr>
          <w:p>
            <w:pPr>
              <w:spacing w:after="0"/>
            </w:pPr>
            <w:r>
              <w:rPr>
                <w:rFonts w:ascii="Arial" w:hAnsi="Arial"/>
                <w:b w:val="0"/>
                <w:i w:val="0"/>
                <w:color w:val="1F1F1F"/>
                <w:sz w:val="17"/>
              </w:rPr>
              <w:t>Record that can be checked and put in context</w:t>
            </w:r>
          </w:p>
        </w:tc>
        <w:tc>
          <w:tcPr>
            <w:tcW w:type="dxa" w:w="4752"/>
            <w:vAlign w:val="center"/>
          </w:tcPr>
          <w:p>
            <w:pPr>
              <w:spacing w:after="0"/>
            </w:pPr>
            <w:r>
              <w:rPr>
                <w:rFonts w:ascii="Arial" w:hAnsi="Arial"/>
                <w:b w:val="0"/>
                <w:i w:val="0"/>
                <w:color w:val="1F1F1F"/>
                <w:sz w:val="17"/>
              </w:rPr>
              <w:t>Rumor, social-media assumption, or unexplained gap</w:t>
            </w:r>
          </w:p>
        </w:tc>
      </w:tr>
      <w:tr>
        <w:trPr>
          <w:cantSplit w:val="true"/>
        </w:trPr>
        <w:tc>
          <w:tcPr>
            <w:tcW w:type="dxa" w:w="4752"/>
            <w:vAlign w:val="center"/>
            <w:shd w:fill="F6F6F6"/>
          </w:tcPr>
          <w:p>
            <w:pPr>
              <w:spacing w:after="0"/>
            </w:pPr>
            <w:r>
              <w:rPr>
                <w:rFonts w:ascii="Arial" w:hAnsi="Arial"/>
                <w:b w:val="0"/>
                <w:i w:val="0"/>
                <w:color w:val="1F1F1F"/>
                <w:sz w:val="17"/>
              </w:rPr>
              <w:t>Acknowledged miss plus concrete correction</w:t>
            </w:r>
          </w:p>
        </w:tc>
        <w:tc>
          <w:tcPr>
            <w:tcW w:type="dxa" w:w="4752"/>
            <w:vAlign w:val="center"/>
            <w:shd w:fill="F6F6F6"/>
          </w:tcPr>
          <w:p>
            <w:pPr>
              <w:spacing w:after="0"/>
            </w:pPr>
            <w:r>
              <w:rPr>
                <w:rFonts w:ascii="Arial" w:hAnsi="Arial"/>
                <w:b w:val="0"/>
                <w:i w:val="0"/>
                <w:color w:val="1F1F1F"/>
                <w:sz w:val="17"/>
              </w:rPr>
              <w:t>Perfect-sounding answer with no detail</w:t>
            </w:r>
          </w:p>
        </w:tc>
      </w:tr>
    </w:tbl>
    <w:p>
      <w:r>
        <w:br w:type="page"/>
      </w:r>
    </w:p>
    <w:p>
      <w:pPr>
        <w:pStyle w:val="Heading1"/>
      </w:pPr>
      <w:r>
        <w:t>Applied Scenario: The Employee Referral</w:t>
      </w:r>
    </w:p>
    <w:p>
      <w:pPr>
        <w:spacing w:after="140" w:line="257" w:lineRule="auto"/>
      </w:pPr>
      <w:r>
        <w:rPr>
          <w:rFonts w:ascii="Arial" w:hAnsi="Arial"/>
          <w:b w:val="0"/>
          <w:i w:val="0"/>
          <w:color w:val="1F1F1F"/>
          <w:sz w:val="22"/>
        </w:rPr>
        <w:t>A respected employee recommends a friend and the manager wants to skip the normal process.</w:t>
      </w:r>
    </w:p>
    <w:p>
      <w:pPr>
        <w:pStyle w:val="Heading2"/>
      </w:pPr>
      <w:r>
        <w:t>Your decision</w:t>
      </w:r>
    </w:p>
    <w:p>
      <w:pPr>
        <w:spacing w:before="60" w:after="60"/>
      </w:pPr>
      <w:r>
        <w:rPr>
          <w:rFonts w:ascii="Arial" w:hAnsi="Arial"/>
          <w:b/>
          <w:i w:val="0"/>
          <w:color w:val="5A5A5A"/>
          <w:sz w:val="18"/>
        </w:rPr>
        <w:t>WHAT FACTS ARE PRESENT?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ARE YOU ASSUMING?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WHICH JOB-RELATED STANDARD APPLIES?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EVIDENCE IS MISSING?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IS THE FAIREST AUTHORIZED NEXT STEP?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WHO OWNS IT, BY WHEN, AND HOW WILL IT BE VERIFIED?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Answer guidance  </w:t>
            </w:r>
            <w:r>
              <w:rPr>
                <w:rFonts w:ascii="Arial" w:hAnsi="Arial"/>
                <w:b w:val="0"/>
                <w:i w:val="0"/>
                <w:color w:val="1F1F1F"/>
                <w:sz w:val="19"/>
              </w:rPr>
              <w:t>A defensible response slows the decision long enough to apply the written standard from Chapter 36. It distinguishes evidence from preference, asks only relevant follow-up questions, documents the reasoning, and escalates anything outside the manager’s authority. A weak response fills gaps with confidence, urgency, reputation, or punishment.</w:t>
            </w:r>
          </w:p>
        </w:tc>
      </w:tr>
    </w:tbl>
    <w:p>
      <w:r>
        <w:br w:type="page"/>
      </w:r>
    </w:p>
    <w:p>
      <w:pPr>
        <w:pStyle w:val="Heading1"/>
      </w:pPr>
      <w:r>
        <w:t>Chapter 36 Action Record  ....  150</w:t>
      </w:r>
    </w:p>
    <w:p>
      <w:pPr>
        <w:spacing w:after="140" w:line="257" w:lineRule="auto"/>
      </w:pPr>
      <w:r>
        <w:rPr>
          <w:rFonts w:ascii="Arial" w:hAnsi="Arial"/>
          <w:b w:val="0"/>
          <w:i w:val="0"/>
          <w:color w:val="1F1F1F"/>
          <w:sz w:val="19"/>
        </w:rPr>
        <w:t>Complete this page for one real decision involving “Install the System in 30 or 60 Days.” Use initials or an approved case identifier when privacy requires it.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2736"/>
            <w:shd w:fill="333333"/>
            <w:vAlign w:val="center"/>
          </w:tcPr>
          <w:p>
            <w:r>
              <w:rPr>
                <w:rFonts w:ascii="Arial" w:hAnsi="Arial"/>
                <w:b/>
                <w:i w:val="0"/>
                <w:color w:val="FFFFFF"/>
                <w:sz w:val="17"/>
              </w:rPr>
              <w:t>Field</w:t>
            </w:r>
          </w:p>
        </w:tc>
        <w:tc>
          <w:tcPr>
            <w:tcW w:type="dxa" w:w="6768"/>
            <w:shd w:fill="333333"/>
            <w:vAlign w:val="center"/>
          </w:tcPr>
          <w:p>
            <w:r>
              <w:rPr>
                <w:rFonts w:ascii="Arial" w:hAnsi="Arial"/>
                <w:b/>
                <w:i w:val="0"/>
                <w:color w:val="FFFFFF"/>
                <w:sz w:val="17"/>
              </w:rPr>
              <w:t>Entry</w:t>
            </w:r>
          </w:p>
        </w:tc>
      </w:tr>
      <w:tr>
        <w:trPr>
          <w:cantSplit w:val="true"/>
        </w:trPr>
        <w:tc>
          <w:tcPr>
            <w:tcW w:type="dxa" w:w="2736"/>
            <w:vAlign w:val="center"/>
          </w:tcPr>
          <w:p>
            <w:pPr>
              <w:spacing w:after="0"/>
            </w:pPr>
            <w:r>
              <w:rPr>
                <w:rFonts w:ascii="Arial" w:hAnsi="Arial"/>
                <w:b w:val="0"/>
                <w:i w:val="0"/>
                <w:color w:val="1F1F1F"/>
                <w:sz w:val="17"/>
              </w:rPr>
              <w:t>Restaurant / location</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Role or case ID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Decision owner</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Date opened</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Required decision date</w:t>
            </w:r>
          </w:p>
        </w:tc>
        <w:tc>
          <w:tcPr>
            <w:tcW w:type="dxa" w:w="6768"/>
            <w:vAlign w:val="center"/>
          </w:tcPr>
          <w:p>
            <w:pPr>
              <w:spacing w:after="0"/>
            </w:pPr>
            <w:r>
              <w:rPr>
                <w:rFonts w:ascii="Arial" w:hAnsi="Arial"/>
                <w:b w:val="0"/>
                <w:i w:val="0"/>
                <w:color w:val="1F1F1F"/>
                <w:sz w:val="17"/>
              </w:rPr>
            </w:r>
          </w:p>
        </w:tc>
      </w:tr>
      <w:tr>
        <w:trPr>
          <w:cantSplit w:val="true"/>
        </w:trPr>
        <w:tc>
          <w:tcPr>
            <w:tcW w:type="dxa" w:w="2736"/>
            <w:vAlign w:val="center"/>
            <w:shd w:fill="F6F6F6"/>
          </w:tcPr>
          <w:p>
            <w:pPr>
              <w:spacing w:after="0"/>
            </w:pPr>
            <w:r>
              <w:rPr>
                <w:rFonts w:ascii="Arial" w:hAnsi="Arial"/>
                <w:b w:val="0"/>
                <w:i w:val="0"/>
                <w:color w:val="1F1F1F"/>
                <w:sz w:val="17"/>
              </w:rPr>
              <w:t>Applicable policy / tool</w:t>
            </w:r>
          </w:p>
        </w:tc>
        <w:tc>
          <w:tcPr>
            <w:tcW w:type="dxa" w:w="6768"/>
            <w:vAlign w:val="center"/>
            <w:shd w:fill="F6F6F6"/>
          </w:tcPr>
          <w:p>
            <w:pPr>
              <w:spacing w:after="0"/>
            </w:pPr>
            <w:r>
              <w:rPr>
                <w:rFonts w:ascii="Arial" w:hAnsi="Arial"/>
                <w:b w:val="0"/>
                <w:i w:val="0"/>
                <w:color w:val="1F1F1F"/>
                <w:sz w:val="17"/>
              </w:rPr>
            </w:r>
          </w:p>
        </w:tc>
      </w:tr>
      <w:tr>
        <w:trPr>
          <w:cantSplit w:val="true"/>
        </w:trPr>
        <w:tc>
          <w:tcPr>
            <w:tcW w:type="dxa" w:w="2736"/>
            <w:vAlign w:val="center"/>
          </w:tcPr>
          <w:p>
            <w:pPr>
              <w:spacing w:after="0"/>
            </w:pPr>
            <w:r>
              <w:rPr>
                <w:rFonts w:ascii="Arial" w:hAnsi="Arial"/>
                <w:b w:val="0"/>
                <w:i w:val="0"/>
                <w:color w:val="1F1F1F"/>
                <w:sz w:val="17"/>
              </w:rPr>
              <w:t>Authorized reviewer</w:t>
            </w:r>
          </w:p>
        </w:tc>
        <w:tc>
          <w:tcPr>
            <w:tcW w:type="dxa" w:w="6768"/>
            <w:vAlign w:val="center"/>
          </w:tcPr>
          <w:p>
            <w:pPr>
              <w:spacing w:after="0"/>
            </w:pPr>
            <w:r>
              <w:rPr>
                <w:rFonts w:ascii="Arial" w:hAnsi="Arial"/>
                <w:b w:val="0"/>
                <w:i w:val="0"/>
                <w:color w:val="1F1F1F"/>
                <w:sz w:val="17"/>
              </w:rPr>
            </w:r>
          </w:p>
        </w:tc>
      </w:tr>
    </w:tbl>
    <w:p>
      <w:pPr>
        <w:spacing w:before="60" w:after="60"/>
      </w:pPr>
      <w:r>
        <w:rPr>
          <w:rFonts w:ascii="Arial" w:hAnsi="Arial"/>
          <w:b/>
          <w:i w:val="0"/>
          <w:color w:val="5A5A5A"/>
          <w:sz w:val="18"/>
        </w:rPr>
        <w:t>DECISION TO MAKE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VERIFIED FACTS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MISSING EVIDENCE AND APPROVED WAY TO OBTAIN IT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STANDARD APPLIED</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NEXT ACTION, OWNER, DEADLINE, AND VERIFICATION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WHAT THIS CASE TEACHES THE SYSTEM</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Manager sign-off: ____________________   Reviewer: ____________________   Date: __________</w:t>
      </w:r>
    </w:p>
    <w:p>
      <w:r>
        <w:br w:type="page"/>
      </w:r>
    </w:p>
    <w:p>
      <w:pPr>
        <w:pStyle w:val="Heading1"/>
      </w:pPr>
      <w:r>
        <w:t>Forms Directory</w:t>
      </w:r>
    </w:p>
    <w:p>
      <w:pPr>
        <w:spacing w:after="140" w:line="257" w:lineRule="auto"/>
      </w:pPr>
      <w:r>
        <w:rPr>
          <w:rFonts w:ascii="Arial" w:hAnsi="Arial"/>
          <w:b w:val="0"/>
          <w:i w:val="0"/>
          <w:color w:val="1F1F1F"/>
          <w:sz w:val="20"/>
        </w:rPr>
        <w:t>These are workbook practice templates and cross-references. Where a GRV-HR ID is shown, use the current controlled GRV-HR form for live records. Where an ID is not shown, verify the current forms register rather than inventing or reusing an ID.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3360"/>
        <w:gridCol w:w="3360"/>
        <w:gridCol w:w="3360"/>
      </w:tblGrid>
      <w:tr>
        <w:tc>
          <w:tcPr>
            <w:tcW w:type="dxa" w:w="3528"/>
            <w:shd w:fill="333333"/>
            <w:vAlign w:val="center"/>
          </w:tcPr>
          <w:p>
            <w:r>
              <w:rPr>
                <w:rFonts w:ascii="Arial" w:hAnsi="Arial"/>
                <w:b/>
                <w:i w:val="0"/>
                <w:color w:val="FFFFFF"/>
                <w:sz w:val="17"/>
              </w:rPr>
              <w:t>Workbook tool</w:t>
            </w:r>
          </w:p>
        </w:tc>
        <w:tc>
          <w:tcPr>
            <w:tcW w:type="dxa" w:w="1944"/>
            <w:shd w:fill="333333"/>
            <w:vAlign w:val="center"/>
          </w:tcPr>
          <w:p>
            <w:r>
              <w:rPr>
                <w:rFonts w:ascii="Arial" w:hAnsi="Arial"/>
                <w:b/>
                <w:i w:val="0"/>
                <w:color w:val="FFFFFF"/>
                <w:sz w:val="17"/>
              </w:rPr>
              <w:t>Use point</w:t>
            </w:r>
          </w:p>
        </w:tc>
        <w:tc>
          <w:tcPr>
            <w:tcW w:type="dxa" w:w="4032"/>
            <w:shd w:fill="333333"/>
            <w:vAlign w:val="center"/>
          </w:tcPr>
          <w:p>
            <w:r>
              <w:rPr>
                <w:rFonts w:ascii="Arial" w:hAnsi="Arial"/>
                <w:b/>
                <w:i w:val="0"/>
                <w:color w:val="FFFFFF"/>
                <w:sz w:val="17"/>
              </w:rPr>
              <w:t>Control</w:t>
            </w:r>
          </w:p>
        </w:tc>
      </w:tr>
      <w:tr>
        <w:trPr>
          <w:cantSplit w:val="true"/>
        </w:trPr>
        <w:tc>
          <w:tcPr>
            <w:tcW w:type="dxa" w:w="3528"/>
            <w:vAlign w:val="center"/>
          </w:tcPr>
          <w:p>
            <w:pPr>
              <w:spacing w:after="0"/>
            </w:pPr>
            <w:r>
              <w:rPr>
                <w:rFonts w:ascii="Arial" w:hAnsi="Arial"/>
                <w:b w:val="0"/>
                <w:i w:val="0"/>
                <w:color w:val="1F1F1F"/>
                <w:sz w:val="15"/>
              </w:rPr>
              <w:t>Staffing Need and Role Request</w:t>
            </w:r>
          </w:p>
        </w:tc>
        <w:tc>
          <w:tcPr>
            <w:tcW w:type="dxa" w:w="1944"/>
            <w:vAlign w:val="center"/>
          </w:tcPr>
          <w:p>
            <w:pPr>
              <w:spacing w:after="0"/>
            </w:pPr>
            <w:r>
              <w:rPr>
                <w:rFonts w:ascii="Arial" w:hAnsi="Arial"/>
                <w:b w:val="0"/>
                <w:i w:val="0"/>
                <w:color w:val="1F1F1F"/>
                <w:sz w:val="15"/>
              </w:rPr>
              <w:t>Before recruiting</w:t>
            </w:r>
          </w:p>
        </w:tc>
        <w:tc>
          <w:tcPr>
            <w:tcW w:type="dxa" w:w="4032"/>
            <w:vAlign w:val="center"/>
          </w:tcPr>
          <w:p>
            <w:pPr>
              <w:spacing w:after="0"/>
            </w:pPr>
            <w:r>
              <w:rPr>
                <w:rFonts w:ascii="Arial" w:hAnsi="Arial"/>
                <w:b w:val="0"/>
                <w:i w:val="0"/>
                <w:color w:val="1F1F1F"/>
                <w:sz w:val="15"/>
              </w:rPr>
              <w:t>Use existing GRV-HR01.</w:t>
            </w:r>
          </w:p>
        </w:tc>
      </w:tr>
      <w:tr>
        <w:trPr>
          <w:cantSplit w:val="true"/>
        </w:trPr>
        <w:tc>
          <w:tcPr>
            <w:tcW w:type="dxa" w:w="3528"/>
            <w:vAlign w:val="center"/>
            <w:shd w:fill="F6F6F6"/>
          </w:tcPr>
          <w:p>
            <w:pPr>
              <w:spacing w:after="0"/>
            </w:pPr>
            <w:r>
              <w:rPr>
                <w:rFonts w:ascii="Arial" w:hAnsi="Arial"/>
                <w:b w:val="0"/>
                <w:i w:val="0"/>
                <w:color w:val="1F1F1F"/>
                <w:sz w:val="15"/>
              </w:rPr>
              <w:t>Position Success Profile</w:t>
            </w:r>
          </w:p>
        </w:tc>
        <w:tc>
          <w:tcPr>
            <w:tcW w:type="dxa" w:w="1944"/>
            <w:vAlign w:val="center"/>
            <w:shd w:fill="F6F6F6"/>
          </w:tcPr>
          <w:p>
            <w:pPr>
              <w:spacing w:after="0"/>
            </w:pPr>
            <w:r>
              <w:rPr>
                <w:rFonts w:ascii="Arial" w:hAnsi="Arial"/>
                <w:b w:val="0"/>
                <w:i w:val="0"/>
                <w:color w:val="1F1F1F"/>
                <w:sz w:val="15"/>
              </w:rPr>
              <w:t>Before recruiting</w:t>
            </w:r>
          </w:p>
        </w:tc>
        <w:tc>
          <w:tcPr>
            <w:tcW w:type="dxa" w:w="4032"/>
            <w:vAlign w:val="center"/>
            <w:shd w:fill="F6F6F6"/>
          </w:tcPr>
          <w:p>
            <w:pPr>
              <w:spacing w:after="0"/>
            </w:pPr>
            <w:r>
              <w:rPr>
                <w:rFonts w:ascii="Arial" w:hAnsi="Arial"/>
                <w:b w:val="0"/>
                <w:i w:val="0"/>
                <w:color w:val="1F1F1F"/>
                <w:sz w:val="15"/>
              </w:rPr>
              <w:t>Use existing GRV-HR02.</w:t>
            </w:r>
          </w:p>
        </w:tc>
      </w:tr>
      <w:tr>
        <w:trPr>
          <w:cantSplit w:val="true"/>
        </w:trPr>
        <w:tc>
          <w:tcPr>
            <w:tcW w:type="dxa" w:w="3528"/>
            <w:vAlign w:val="center"/>
          </w:tcPr>
          <w:p>
            <w:pPr>
              <w:spacing w:after="0"/>
            </w:pPr>
            <w:r>
              <w:rPr>
                <w:rFonts w:ascii="Arial" w:hAnsi="Arial"/>
                <w:b w:val="0"/>
                <w:i w:val="0"/>
                <w:color w:val="1F1F1F"/>
                <w:sz w:val="15"/>
              </w:rPr>
              <w:t>Job Posting Truth Check</w:t>
            </w:r>
          </w:p>
        </w:tc>
        <w:tc>
          <w:tcPr>
            <w:tcW w:type="dxa" w:w="1944"/>
            <w:vAlign w:val="center"/>
          </w:tcPr>
          <w:p>
            <w:pPr>
              <w:spacing w:after="0"/>
            </w:pPr>
            <w:r>
              <w:rPr>
                <w:rFonts w:ascii="Arial" w:hAnsi="Arial"/>
                <w:b w:val="0"/>
                <w:i w:val="0"/>
                <w:color w:val="1F1F1F"/>
                <w:sz w:val="15"/>
              </w:rPr>
              <w:t>Before posting</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Applicant Screening Worksheet</w:t>
            </w:r>
          </w:p>
        </w:tc>
        <w:tc>
          <w:tcPr>
            <w:tcW w:type="dxa" w:w="1944"/>
            <w:vAlign w:val="center"/>
            <w:shd w:fill="F6F6F6"/>
          </w:tcPr>
          <w:p>
            <w:pPr>
              <w:spacing w:after="0"/>
            </w:pPr>
            <w:r>
              <w:rPr>
                <w:rFonts w:ascii="Arial" w:hAnsi="Arial"/>
                <w:b w:val="0"/>
                <w:i w:val="0"/>
                <w:color w:val="1F1F1F"/>
                <w:sz w:val="15"/>
              </w:rPr>
              <w:t>Application review</w:t>
            </w:r>
          </w:p>
        </w:tc>
        <w:tc>
          <w:tcPr>
            <w:tcW w:type="dxa" w:w="4032"/>
            <w:vAlign w:val="center"/>
            <w:shd w:fill="F6F6F6"/>
          </w:tcPr>
          <w:p>
            <w:pPr>
              <w:spacing w:after="0"/>
            </w:pPr>
            <w:r>
              <w:rPr>
                <w:rFonts w:ascii="Arial" w:hAnsi="Arial"/>
                <w:b w:val="0"/>
                <w:i w:val="0"/>
                <w:color w:val="1F1F1F"/>
                <w:sz w:val="15"/>
              </w:rPr>
              <w:t>Map to current GRV-HR register.</w:t>
            </w:r>
          </w:p>
        </w:tc>
      </w:tr>
      <w:tr>
        <w:trPr>
          <w:cantSplit w:val="true"/>
        </w:trPr>
        <w:tc>
          <w:tcPr>
            <w:tcW w:type="dxa" w:w="3528"/>
            <w:vAlign w:val="center"/>
          </w:tcPr>
          <w:p>
            <w:pPr>
              <w:spacing w:after="0"/>
            </w:pPr>
            <w:r>
              <w:rPr>
                <w:rFonts w:ascii="Arial" w:hAnsi="Arial"/>
                <w:b w:val="0"/>
                <w:i w:val="0"/>
                <w:color w:val="1F1F1F"/>
                <w:sz w:val="15"/>
              </w:rPr>
              <w:t>Structured Interview Guide</w:t>
            </w:r>
          </w:p>
        </w:tc>
        <w:tc>
          <w:tcPr>
            <w:tcW w:type="dxa" w:w="1944"/>
            <w:vAlign w:val="center"/>
          </w:tcPr>
          <w:p>
            <w:pPr>
              <w:spacing w:after="0"/>
            </w:pPr>
            <w:r>
              <w:rPr>
                <w:rFonts w:ascii="Arial" w:hAnsi="Arial"/>
                <w:b w:val="0"/>
                <w:i w:val="0"/>
                <w:color w:val="1F1F1F"/>
                <w:sz w:val="15"/>
              </w:rPr>
              <w:t>Interview</w:t>
            </w:r>
          </w:p>
        </w:tc>
        <w:tc>
          <w:tcPr>
            <w:tcW w:type="dxa" w:w="4032"/>
            <w:vAlign w:val="center"/>
          </w:tcPr>
          <w:p>
            <w:pPr>
              <w:spacing w:after="0"/>
            </w:pPr>
            <w:r>
              <w:rPr>
                <w:rFonts w:ascii="Arial" w:hAnsi="Arial"/>
                <w:b w:val="0"/>
                <w:i w:val="0"/>
                <w:color w:val="1F1F1F"/>
                <w:sz w:val="15"/>
              </w:rPr>
              <w:t>Use existing GRV-HR06.</w:t>
            </w:r>
          </w:p>
        </w:tc>
      </w:tr>
      <w:tr>
        <w:trPr>
          <w:cantSplit w:val="true"/>
        </w:trPr>
        <w:tc>
          <w:tcPr>
            <w:tcW w:type="dxa" w:w="3528"/>
            <w:vAlign w:val="center"/>
            <w:shd w:fill="F6F6F6"/>
          </w:tcPr>
          <w:p>
            <w:pPr>
              <w:spacing w:after="0"/>
            </w:pPr>
            <w:r>
              <w:rPr>
                <w:rFonts w:ascii="Arial" w:hAnsi="Arial"/>
                <w:b w:val="0"/>
                <w:i w:val="0"/>
                <w:color w:val="1F1F1F"/>
                <w:sz w:val="15"/>
              </w:rPr>
              <w:t>Care Evidence Question Bank</w:t>
            </w:r>
          </w:p>
        </w:tc>
        <w:tc>
          <w:tcPr>
            <w:tcW w:type="dxa" w:w="1944"/>
            <w:vAlign w:val="center"/>
            <w:shd w:fill="F6F6F6"/>
          </w:tcPr>
          <w:p>
            <w:pPr>
              <w:spacing w:after="0"/>
            </w:pPr>
            <w:r>
              <w:rPr>
                <w:rFonts w:ascii="Arial" w:hAnsi="Arial"/>
                <w:b w:val="0"/>
                <w:i w:val="0"/>
                <w:color w:val="1F1F1F"/>
                <w:sz w:val="15"/>
              </w:rPr>
              <w:t>Interview</w:t>
            </w:r>
          </w:p>
        </w:tc>
        <w:tc>
          <w:tcPr>
            <w:tcW w:type="dxa" w:w="4032"/>
            <w:vAlign w:val="center"/>
            <w:shd w:fill="F6F6F6"/>
          </w:tcPr>
          <w:p>
            <w:pPr>
              <w:spacing w:after="0"/>
            </w:pPr>
            <w:r>
              <w:rPr>
                <w:rFonts w:ascii="Arial" w:hAnsi="Arial"/>
                <w:b w:val="0"/>
                <w:i w:val="0"/>
                <w:color w:val="1F1F1F"/>
                <w:sz w:val="15"/>
              </w:rPr>
              <w:t>Workbook teaching tool; cross-reference GRV-HR06.</w:t>
            </w:r>
          </w:p>
        </w:tc>
      </w:tr>
      <w:tr>
        <w:trPr>
          <w:cantSplit w:val="true"/>
        </w:trPr>
        <w:tc>
          <w:tcPr>
            <w:tcW w:type="dxa" w:w="3528"/>
            <w:vAlign w:val="center"/>
          </w:tcPr>
          <w:p>
            <w:pPr>
              <w:spacing w:after="0"/>
            </w:pPr>
            <w:r>
              <w:rPr>
                <w:rFonts w:ascii="Arial" w:hAnsi="Arial"/>
                <w:b w:val="0"/>
                <w:i w:val="0"/>
                <w:color w:val="1F1F1F"/>
                <w:sz w:val="15"/>
              </w:rPr>
              <w:t>Candidate Evidence Scorecard</w:t>
            </w:r>
          </w:p>
        </w:tc>
        <w:tc>
          <w:tcPr>
            <w:tcW w:type="dxa" w:w="1944"/>
            <w:vAlign w:val="center"/>
          </w:tcPr>
          <w:p>
            <w:pPr>
              <w:spacing w:after="0"/>
            </w:pPr>
            <w:r>
              <w:rPr>
                <w:rFonts w:ascii="Arial" w:hAnsi="Arial"/>
                <w:b w:val="0"/>
                <w:i w:val="0"/>
                <w:color w:val="1F1F1F"/>
                <w:sz w:val="15"/>
              </w:rPr>
              <w:t>Selection</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Realistic Job Preview Checklist</w:t>
            </w:r>
          </w:p>
        </w:tc>
        <w:tc>
          <w:tcPr>
            <w:tcW w:type="dxa" w:w="1944"/>
            <w:vAlign w:val="center"/>
            <w:shd w:fill="F6F6F6"/>
          </w:tcPr>
          <w:p>
            <w:pPr>
              <w:spacing w:after="0"/>
            </w:pPr>
            <w:r>
              <w:rPr>
                <w:rFonts w:ascii="Arial" w:hAnsi="Arial"/>
                <w:b w:val="0"/>
                <w:i w:val="0"/>
                <w:color w:val="1F1F1F"/>
                <w:sz w:val="15"/>
              </w:rPr>
              <w:t>Interview or second look</w:t>
            </w:r>
          </w:p>
        </w:tc>
        <w:tc>
          <w:tcPr>
            <w:tcW w:type="dxa" w:w="4032"/>
            <w:vAlign w:val="center"/>
            <w:shd w:fill="F6F6F6"/>
          </w:tcPr>
          <w:p>
            <w:pPr>
              <w:spacing w:after="0"/>
            </w:pPr>
            <w:r>
              <w:rPr>
                <w:rFonts w:ascii="Arial" w:hAnsi="Arial"/>
                <w:b w:val="0"/>
                <w:i w:val="0"/>
                <w:color w:val="1F1F1F"/>
                <w:sz w:val="15"/>
              </w:rPr>
              <w:t>Map to current GRV-HR register.</w:t>
            </w:r>
          </w:p>
        </w:tc>
      </w:tr>
      <w:tr>
        <w:trPr>
          <w:cantSplit w:val="true"/>
        </w:trPr>
        <w:tc>
          <w:tcPr>
            <w:tcW w:type="dxa" w:w="3528"/>
            <w:vAlign w:val="center"/>
          </w:tcPr>
          <w:p>
            <w:pPr>
              <w:spacing w:after="0"/>
            </w:pPr>
            <w:r>
              <w:rPr>
                <w:rFonts w:ascii="Arial" w:hAnsi="Arial"/>
                <w:b w:val="0"/>
                <w:i w:val="0"/>
                <w:color w:val="1F1F1F"/>
                <w:sz w:val="15"/>
              </w:rPr>
              <w:t>Reference and Verification Record</w:t>
            </w:r>
          </w:p>
        </w:tc>
        <w:tc>
          <w:tcPr>
            <w:tcW w:type="dxa" w:w="1944"/>
            <w:vAlign w:val="center"/>
          </w:tcPr>
          <w:p>
            <w:pPr>
              <w:spacing w:after="0"/>
            </w:pPr>
            <w:r>
              <w:rPr>
                <w:rFonts w:ascii="Arial" w:hAnsi="Arial"/>
                <w:b w:val="0"/>
                <w:i w:val="0"/>
                <w:color w:val="1F1F1F"/>
                <w:sz w:val="15"/>
              </w:rPr>
              <w:t>Pre-offer or authorized stage</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Hiring Decision Record</w:t>
            </w:r>
          </w:p>
        </w:tc>
        <w:tc>
          <w:tcPr>
            <w:tcW w:type="dxa" w:w="1944"/>
            <w:vAlign w:val="center"/>
            <w:shd w:fill="F6F6F6"/>
          </w:tcPr>
          <w:p>
            <w:pPr>
              <w:spacing w:after="0"/>
            </w:pPr>
            <w:r>
              <w:rPr>
                <w:rFonts w:ascii="Arial" w:hAnsi="Arial"/>
                <w:b w:val="0"/>
                <w:i w:val="0"/>
                <w:color w:val="1F1F1F"/>
                <w:sz w:val="15"/>
              </w:rPr>
              <w:t>Selection</w:t>
            </w:r>
          </w:p>
        </w:tc>
        <w:tc>
          <w:tcPr>
            <w:tcW w:type="dxa" w:w="4032"/>
            <w:vAlign w:val="center"/>
            <w:shd w:fill="F6F6F6"/>
          </w:tcPr>
          <w:p>
            <w:pPr>
              <w:spacing w:after="0"/>
            </w:pPr>
            <w:r>
              <w:rPr>
                <w:rFonts w:ascii="Arial" w:hAnsi="Arial"/>
                <w:b w:val="0"/>
                <w:i w:val="0"/>
                <w:color w:val="1F1F1F"/>
                <w:sz w:val="15"/>
              </w:rPr>
              <w:t>Map to current GRV-HR register.</w:t>
            </w:r>
          </w:p>
        </w:tc>
      </w:tr>
      <w:tr>
        <w:trPr>
          <w:cantSplit w:val="true"/>
        </w:trPr>
        <w:tc>
          <w:tcPr>
            <w:tcW w:type="dxa" w:w="3528"/>
            <w:vAlign w:val="center"/>
          </w:tcPr>
          <w:p>
            <w:pPr>
              <w:spacing w:after="0"/>
            </w:pPr>
            <w:r>
              <w:rPr>
                <w:rFonts w:ascii="Arial" w:hAnsi="Arial"/>
                <w:b w:val="0"/>
                <w:i w:val="0"/>
                <w:color w:val="1F1F1F"/>
                <w:sz w:val="15"/>
              </w:rPr>
              <w:t>Preboarding Readiness Checklist</w:t>
            </w:r>
          </w:p>
        </w:tc>
        <w:tc>
          <w:tcPr>
            <w:tcW w:type="dxa" w:w="1944"/>
            <w:vAlign w:val="center"/>
          </w:tcPr>
          <w:p>
            <w:pPr>
              <w:spacing w:after="0"/>
            </w:pPr>
            <w:r>
              <w:rPr>
                <w:rFonts w:ascii="Arial" w:hAnsi="Arial"/>
                <w:b w:val="0"/>
                <w:i w:val="0"/>
                <w:color w:val="1F1F1F"/>
                <w:sz w:val="15"/>
              </w:rPr>
              <w:t>Before Day One</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First Week Fit and Support Check</w:t>
            </w:r>
          </w:p>
        </w:tc>
        <w:tc>
          <w:tcPr>
            <w:tcW w:type="dxa" w:w="1944"/>
            <w:vAlign w:val="center"/>
            <w:shd w:fill="F6F6F6"/>
          </w:tcPr>
          <w:p>
            <w:pPr>
              <w:spacing w:after="0"/>
            </w:pPr>
            <w:r>
              <w:rPr>
                <w:rFonts w:ascii="Arial" w:hAnsi="Arial"/>
                <w:b w:val="0"/>
                <w:i w:val="0"/>
                <w:color w:val="1F1F1F"/>
                <w:sz w:val="15"/>
              </w:rPr>
              <w:t>First week</w:t>
            </w:r>
          </w:p>
        </w:tc>
        <w:tc>
          <w:tcPr>
            <w:tcW w:type="dxa" w:w="4032"/>
            <w:vAlign w:val="center"/>
            <w:shd w:fill="F6F6F6"/>
          </w:tcPr>
          <w:p>
            <w:pPr>
              <w:spacing w:after="0"/>
            </w:pPr>
            <w:r>
              <w:rPr>
                <w:rFonts w:ascii="Arial" w:hAnsi="Arial"/>
                <w:b w:val="0"/>
                <w:i w:val="0"/>
                <w:color w:val="1F1F1F"/>
                <w:sz w:val="15"/>
              </w:rPr>
              <w:t>Use existing GRV-HR12.</w:t>
            </w:r>
          </w:p>
        </w:tc>
      </w:tr>
      <w:tr>
        <w:trPr>
          <w:cantSplit w:val="true"/>
        </w:trPr>
        <w:tc>
          <w:tcPr>
            <w:tcW w:type="dxa" w:w="3528"/>
            <w:vAlign w:val="center"/>
          </w:tcPr>
          <w:p>
            <w:pPr>
              <w:spacing w:after="0"/>
            </w:pPr>
            <w:r>
              <w:rPr>
                <w:rFonts w:ascii="Arial" w:hAnsi="Arial"/>
                <w:b w:val="0"/>
                <w:i w:val="0"/>
                <w:color w:val="1F1F1F"/>
                <w:sz w:val="15"/>
              </w:rPr>
              <w:t>New Hire Check In Record</w:t>
            </w:r>
          </w:p>
        </w:tc>
        <w:tc>
          <w:tcPr>
            <w:tcW w:type="dxa" w:w="1944"/>
            <w:vAlign w:val="center"/>
          </w:tcPr>
          <w:p>
            <w:pPr>
              <w:spacing w:after="0"/>
            </w:pPr>
            <w:r>
              <w:rPr>
                <w:rFonts w:ascii="Arial" w:hAnsi="Arial"/>
                <w:b w:val="0"/>
                <w:i w:val="0"/>
                <w:color w:val="1F1F1F"/>
                <w:sz w:val="15"/>
              </w:rPr>
              <w:t>Days 7 14 30 60 and 90</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Early Retention Risk Review</w:t>
            </w:r>
          </w:p>
        </w:tc>
        <w:tc>
          <w:tcPr>
            <w:tcW w:type="dxa" w:w="1944"/>
            <w:vAlign w:val="center"/>
            <w:shd w:fill="F6F6F6"/>
          </w:tcPr>
          <w:p>
            <w:pPr>
              <w:spacing w:after="0"/>
            </w:pPr>
            <w:r>
              <w:rPr>
                <w:rFonts w:ascii="Arial" w:hAnsi="Arial"/>
                <w:b w:val="0"/>
                <w:i w:val="0"/>
                <w:color w:val="1F1F1F"/>
                <w:sz w:val="15"/>
              </w:rPr>
              <w:t>First 90 days</w:t>
            </w:r>
          </w:p>
        </w:tc>
        <w:tc>
          <w:tcPr>
            <w:tcW w:type="dxa" w:w="4032"/>
            <w:vAlign w:val="center"/>
            <w:shd w:fill="F6F6F6"/>
          </w:tcPr>
          <w:p>
            <w:pPr>
              <w:spacing w:after="0"/>
            </w:pPr>
            <w:r>
              <w:rPr>
                <w:rFonts w:ascii="Arial" w:hAnsi="Arial"/>
                <w:b w:val="0"/>
                <w:i w:val="0"/>
                <w:color w:val="1F1F1F"/>
                <w:sz w:val="15"/>
              </w:rPr>
              <w:t>Map to current GRV-HR register.</w:t>
            </w:r>
          </w:p>
        </w:tc>
      </w:tr>
      <w:tr>
        <w:trPr>
          <w:cantSplit w:val="true"/>
        </w:trPr>
        <w:tc>
          <w:tcPr>
            <w:tcW w:type="dxa" w:w="3528"/>
            <w:vAlign w:val="center"/>
          </w:tcPr>
          <w:p>
            <w:pPr>
              <w:spacing w:after="0"/>
            </w:pPr>
            <w:r>
              <w:rPr>
                <w:rFonts w:ascii="Arial" w:hAnsi="Arial"/>
                <w:b w:val="0"/>
                <w:i w:val="0"/>
                <w:color w:val="1F1F1F"/>
                <w:sz w:val="15"/>
              </w:rPr>
              <w:t>New Hire Coaching Record</w:t>
            </w:r>
          </w:p>
        </w:tc>
        <w:tc>
          <w:tcPr>
            <w:tcW w:type="dxa" w:w="1944"/>
            <w:vAlign w:val="center"/>
          </w:tcPr>
          <w:p>
            <w:pPr>
              <w:spacing w:after="0"/>
            </w:pPr>
            <w:r>
              <w:rPr>
                <w:rFonts w:ascii="Arial" w:hAnsi="Arial"/>
                <w:b w:val="0"/>
                <w:i w:val="0"/>
                <w:color w:val="1F1F1F"/>
                <w:sz w:val="15"/>
              </w:rPr>
              <w:t>As needed</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Stay Conversation Guide</w:t>
            </w:r>
          </w:p>
        </w:tc>
        <w:tc>
          <w:tcPr>
            <w:tcW w:type="dxa" w:w="1944"/>
            <w:vAlign w:val="center"/>
            <w:shd w:fill="F6F6F6"/>
          </w:tcPr>
          <w:p>
            <w:pPr>
              <w:spacing w:after="0"/>
            </w:pPr>
            <w:r>
              <w:rPr>
                <w:rFonts w:ascii="Arial" w:hAnsi="Arial"/>
                <w:b w:val="0"/>
                <w:i w:val="0"/>
                <w:color w:val="1F1F1F"/>
                <w:sz w:val="15"/>
              </w:rPr>
              <w:t>Quarterly or at risk</w:t>
            </w:r>
          </w:p>
        </w:tc>
        <w:tc>
          <w:tcPr>
            <w:tcW w:type="dxa" w:w="4032"/>
            <w:vAlign w:val="center"/>
            <w:shd w:fill="F6F6F6"/>
          </w:tcPr>
          <w:p>
            <w:pPr>
              <w:spacing w:after="0"/>
            </w:pPr>
            <w:r>
              <w:rPr>
                <w:rFonts w:ascii="Arial" w:hAnsi="Arial"/>
                <w:b w:val="0"/>
                <w:i w:val="0"/>
                <w:color w:val="1F1F1F"/>
                <w:sz w:val="15"/>
              </w:rPr>
              <w:t>Map to current GRV-HR register.</w:t>
            </w:r>
          </w:p>
        </w:tc>
      </w:tr>
      <w:tr>
        <w:trPr>
          <w:cantSplit w:val="true"/>
        </w:trPr>
        <w:tc>
          <w:tcPr>
            <w:tcW w:type="dxa" w:w="3528"/>
            <w:vAlign w:val="center"/>
          </w:tcPr>
          <w:p>
            <w:pPr>
              <w:spacing w:after="0"/>
            </w:pPr>
            <w:r>
              <w:rPr>
                <w:rFonts w:ascii="Arial" w:hAnsi="Arial"/>
                <w:b w:val="0"/>
                <w:i w:val="0"/>
                <w:color w:val="1F1F1F"/>
                <w:sz w:val="15"/>
              </w:rPr>
              <w:t>Employee Concern Intake</w:t>
            </w:r>
          </w:p>
        </w:tc>
        <w:tc>
          <w:tcPr>
            <w:tcW w:type="dxa" w:w="1944"/>
            <w:vAlign w:val="center"/>
          </w:tcPr>
          <w:p>
            <w:pPr>
              <w:spacing w:after="0"/>
            </w:pPr>
            <w:r>
              <w:rPr>
                <w:rFonts w:ascii="Arial" w:hAnsi="Arial"/>
                <w:b w:val="0"/>
                <w:i w:val="0"/>
                <w:color w:val="1F1F1F"/>
                <w:sz w:val="15"/>
              </w:rPr>
              <w:t>As needed</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Corrective Action Review Checklist</w:t>
            </w:r>
          </w:p>
        </w:tc>
        <w:tc>
          <w:tcPr>
            <w:tcW w:type="dxa" w:w="1944"/>
            <w:vAlign w:val="center"/>
            <w:shd w:fill="F6F6F6"/>
          </w:tcPr>
          <w:p>
            <w:pPr>
              <w:spacing w:after="0"/>
            </w:pPr>
            <w:r>
              <w:rPr>
                <w:rFonts w:ascii="Arial" w:hAnsi="Arial"/>
                <w:b w:val="0"/>
                <w:i w:val="0"/>
                <w:color w:val="1F1F1F"/>
                <w:sz w:val="15"/>
              </w:rPr>
              <w:t>Before corrective action</w:t>
            </w:r>
          </w:p>
        </w:tc>
        <w:tc>
          <w:tcPr>
            <w:tcW w:type="dxa" w:w="4032"/>
            <w:vAlign w:val="center"/>
            <w:shd w:fill="F6F6F6"/>
          </w:tcPr>
          <w:p>
            <w:pPr>
              <w:spacing w:after="0"/>
            </w:pPr>
            <w:r>
              <w:rPr>
                <w:rFonts w:ascii="Arial" w:hAnsi="Arial"/>
                <w:b w:val="0"/>
                <w:i w:val="0"/>
                <w:color w:val="1F1F1F"/>
                <w:sz w:val="15"/>
              </w:rPr>
              <w:t>Use existing GRV-HR23.</w:t>
            </w:r>
          </w:p>
        </w:tc>
      </w:tr>
      <w:tr>
        <w:trPr>
          <w:cantSplit w:val="true"/>
        </w:trPr>
        <w:tc>
          <w:tcPr>
            <w:tcW w:type="dxa" w:w="3528"/>
            <w:vAlign w:val="center"/>
          </w:tcPr>
          <w:p>
            <w:pPr>
              <w:spacing w:after="0"/>
            </w:pPr>
            <w:r>
              <w:rPr>
                <w:rFonts w:ascii="Arial" w:hAnsi="Arial"/>
                <w:b w:val="0"/>
                <w:i w:val="0"/>
                <w:color w:val="1F1F1F"/>
                <w:sz w:val="15"/>
              </w:rPr>
              <w:t>Exit Conversation Record</w:t>
            </w:r>
          </w:p>
        </w:tc>
        <w:tc>
          <w:tcPr>
            <w:tcW w:type="dxa" w:w="1944"/>
            <w:vAlign w:val="center"/>
          </w:tcPr>
          <w:p>
            <w:pPr>
              <w:spacing w:after="0"/>
            </w:pPr>
            <w:r>
              <w:rPr>
                <w:rFonts w:ascii="Arial" w:hAnsi="Arial"/>
                <w:b w:val="0"/>
                <w:i w:val="0"/>
                <w:color w:val="1F1F1F"/>
                <w:sz w:val="15"/>
              </w:rPr>
              <w:t>At separation</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Turnover Pattern Analysis</w:t>
            </w:r>
          </w:p>
        </w:tc>
        <w:tc>
          <w:tcPr>
            <w:tcW w:type="dxa" w:w="1944"/>
            <w:vAlign w:val="center"/>
            <w:shd w:fill="F6F6F6"/>
          </w:tcPr>
          <w:p>
            <w:pPr>
              <w:spacing w:after="0"/>
            </w:pPr>
            <w:r>
              <w:rPr>
                <w:rFonts w:ascii="Arial" w:hAnsi="Arial"/>
                <w:b w:val="0"/>
                <w:i w:val="0"/>
                <w:color w:val="1F1F1F"/>
                <w:sz w:val="15"/>
              </w:rPr>
              <w:t>Monthly and quarterly</w:t>
            </w:r>
          </w:p>
        </w:tc>
        <w:tc>
          <w:tcPr>
            <w:tcW w:type="dxa" w:w="4032"/>
            <w:vAlign w:val="center"/>
            <w:shd w:fill="F6F6F6"/>
          </w:tcPr>
          <w:p>
            <w:pPr>
              <w:spacing w:after="0"/>
            </w:pPr>
            <w:r>
              <w:rPr>
                <w:rFonts w:ascii="Arial" w:hAnsi="Arial"/>
                <w:b w:val="0"/>
                <w:i w:val="0"/>
                <w:color w:val="1F1F1F"/>
                <w:sz w:val="15"/>
              </w:rPr>
              <w:t>Use existing GRV-HR tool title; verify exact ID.</w:t>
            </w:r>
          </w:p>
        </w:tc>
      </w:tr>
      <w:tr>
        <w:trPr>
          <w:cantSplit w:val="true"/>
        </w:trPr>
        <w:tc>
          <w:tcPr>
            <w:tcW w:type="dxa" w:w="3528"/>
            <w:vAlign w:val="center"/>
          </w:tcPr>
          <w:p>
            <w:pPr>
              <w:spacing w:after="0"/>
            </w:pPr>
            <w:r>
              <w:rPr>
                <w:rFonts w:ascii="Arial" w:hAnsi="Arial"/>
                <w:b w:val="0"/>
                <w:i w:val="0"/>
                <w:color w:val="1F1F1F"/>
                <w:sz w:val="15"/>
              </w:rPr>
              <w:t>Weekly Hiring and Retention Review</w:t>
            </w:r>
          </w:p>
        </w:tc>
        <w:tc>
          <w:tcPr>
            <w:tcW w:type="dxa" w:w="1944"/>
            <w:vAlign w:val="center"/>
          </w:tcPr>
          <w:p>
            <w:pPr>
              <w:spacing w:after="0"/>
            </w:pPr>
            <w:r>
              <w:rPr>
                <w:rFonts w:ascii="Arial" w:hAnsi="Arial"/>
                <w:b w:val="0"/>
                <w:i w:val="0"/>
                <w:color w:val="1F1F1F"/>
                <w:sz w:val="15"/>
              </w:rPr>
              <w:t>Weekly</w:t>
            </w:r>
          </w:p>
        </w:tc>
        <w:tc>
          <w:tcPr>
            <w:tcW w:type="dxa" w:w="4032"/>
            <w:vAlign w:val="center"/>
          </w:tcPr>
          <w:p>
            <w:pPr>
              <w:spacing w:after="0"/>
            </w:pPr>
            <w:r>
              <w:rPr>
                <w:rFonts w:ascii="Arial" w:hAnsi="Arial"/>
                <w:b w:val="0"/>
                <w:i w:val="0"/>
                <w:color w:val="1F1F1F"/>
                <w:sz w:val="15"/>
              </w:rPr>
              <w:t>Map to current GRV-HR register.</w:t>
            </w:r>
          </w:p>
        </w:tc>
      </w:tr>
      <w:tr>
        <w:trPr>
          <w:cantSplit w:val="true"/>
        </w:trPr>
        <w:tc>
          <w:tcPr>
            <w:tcW w:type="dxa" w:w="3528"/>
            <w:vAlign w:val="center"/>
            <w:shd w:fill="F6F6F6"/>
          </w:tcPr>
          <w:p>
            <w:pPr>
              <w:spacing w:after="0"/>
            </w:pPr>
            <w:r>
              <w:rPr>
                <w:rFonts w:ascii="Arial" w:hAnsi="Arial"/>
                <w:b w:val="0"/>
                <w:i w:val="0"/>
                <w:color w:val="1F1F1F"/>
                <w:sz w:val="15"/>
              </w:rPr>
              <w:t>30 Day or 60 Day Installation Tracker</w:t>
            </w:r>
          </w:p>
        </w:tc>
        <w:tc>
          <w:tcPr>
            <w:tcW w:type="dxa" w:w="1944"/>
            <w:vAlign w:val="center"/>
            <w:shd w:fill="F6F6F6"/>
          </w:tcPr>
          <w:p>
            <w:pPr>
              <w:spacing w:after="0"/>
            </w:pPr>
            <w:r>
              <w:rPr>
                <w:rFonts w:ascii="Arial" w:hAnsi="Arial"/>
                <w:b w:val="0"/>
                <w:i w:val="0"/>
                <w:color w:val="1F1F1F"/>
                <w:sz w:val="15"/>
              </w:rPr>
              <w:t>During rollout</w:t>
            </w:r>
          </w:p>
        </w:tc>
        <w:tc>
          <w:tcPr>
            <w:tcW w:type="dxa" w:w="4032"/>
            <w:vAlign w:val="center"/>
            <w:shd w:fill="F6F6F6"/>
          </w:tcPr>
          <w:p>
            <w:pPr>
              <w:spacing w:after="0"/>
            </w:pPr>
            <w:r>
              <w:rPr>
                <w:rFonts w:ascii="Arial" w:hAnsi="Arial"/>
                <w:b w:val="0"/>
                <w:i w:val="0"/>
                <w:color w:val="1F1F1F"/>
                <w:sz w:val="15"/>
              </w:rPr>
              <w:t>Connect to GRV-IV; do not duplicate installation IDs.</w:t>
            </w:r>
          </w:p>
        </w:tc>
      </w:tr>
    </w:tbl>
    <w:p>
      <w:r>
        <w:br w:type="page"/>
      </w:r>
    </w:p>
    <w:p>
      <w:pPr>
        <w:pStyle w:val="Heading1"/>
      </w:pPr>
      <w:r>
        <w:t>Guided Practice Tool 1: Staffing Need and Role Request</w:t>
      </w:r>
    </w:p>
    <w:p>
      <w:pPr>
        <w:spacing w:after="140" w:line="257" w:lineRule="auto"/>
      </w:pPr>
      <w:r>
        <w:rPr>
          <w:rFonts w:ascii="Arial" w:hAnsi="Arial"/>
          <w:b w:val="0"/>
          <w:i w:val="0"/>
          <w:color w:val="1F1F1F"/>
          <w:sz w:val="22"/>
        </w:rPr>
        <w:t>Confirm demand, coverage, skill, availability, wage authorization, owner, and deadline.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Before recruiting</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GRV-HR01.</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Staffing Need and Role Request: Guided Practice Copy | Controlled operating record: GRV-HR01 Staffing Need &amp; Role Request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2: Position Success Profile</w:t>
      </w:r>
    </w:p>
    <w:p>
      <w:pPr>
        <w:spacing w:after="140" w:line="257" w:lineRule="auto"/>
      </w:pPr>
      <w:r>
        <w:rPr>
          <w:rFonts w:ascii="Arial" w:hAnsi="Arial"/>
          <w:b w:val="0"/>
          <w:i w:val="0"/>
          <w:color w:val="1F1F1F"/>
          <w:sz w:val="22"/>
        </w:rPr>
        <w:t>Define duties, conditions, nonnegotiable standards, trainable skills, schedule, and success evidence.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Before recruiting</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GRV-HR02.</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Position Success Profile: Guided Practice Copy | Controlled operating record: GRV-HR02 Position Success Profile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3: Job Posting Truth Check</w:t>
      </w:r>
    </w:p>
    <w:p>
      <w:pPr>
        <w:spacing w:after="140" w:line="257" w:lineRule="auto"/>
      </w:pPr>
      <w:r>
        <w:rPr>
          <w:rFonts w:ascii="Arial" w:hAnsi="Arial"/>
          <w:b w:val="0"/>
          <w:i w:val="0"/>
          <w:color w:val="1F1F1F"/>
          <w:sz w:val="22"/>
        </w:rPr>
        <w:t>Verify accurate role, schedule, conditions, requirements, access, and claims.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Before posting</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Job Posting Truth Check: Guided Practice Copy | Controlled operating record: GRV-HR05 Applicant Communication Standard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4: Applicant Screening Worksheet</w:t>
      </w:r>
    </w:p>
    <w:p>
      <w:pPr>
        <w:spacing w:after="140" w:line="257" w:lineRule="auto"/>
      </w:pPr>
      <w:r>
        <w:rPr>
          <w:rFonts w:ascii="Arial" w:hAnsi="Arial"/>
          <w:b w:val="0"/>
          <w:i w:val="0"/>
          <w:color w:val="1F1F1F"/>
          <w:sz w:val="22"/>
        </w:rPr>
        <w:t>Apply the same required and preferred criteria to each applicant.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Application review</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Applicant Screening Worksheet: Guided Practice Copy | Controlled operating record: GRV-HR03 Hiring Priority &amp; Pipeline Tracker; GRV-HR07 Work Availability &amp; Scheduling Fit Check</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5: Structured Interview Guide</w:t>
      </w:r>
    </w:p>
    <w:p>
      <w:pPr>
        <w:spacing w:after="140" w:line="257" w:lineRule="auto"/>
      </w:pPr>
      <w:r>
        <w:rPr>
          <w:rFonts w:ascii="Arial" w:hAnsi="Arial"/>
          <w:b w:val="0"/>
          <w:i w:val="0"/>
          <w:color w:val="1F1F1F"/>
          <w:sz w:val="22"/>
        </w:rPr>
        <w:t>Provide consistent core questions, probes, notes, and lawful boundaries.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Interview</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GRV-HR06.</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Structured Interview Guide: Guided Practice Copy | Controlled operating record: GRV-HR06 Structured Interview Guide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6: Care Evidence Question Bank</w:t>
      </w:r>
    </w:p>
    <w:p>
      <w:pPr>
        <w:spacing w:after="140" w:line="257" w:lineRule="auto"/>
      </w:pPr>
      <w:r>
        <w:rPr>
          <w:rFonts w:ascii="Arial" w:hAnsi="Arial"/>
          <w:b w:val="0"/>
          <w:i w:val="0"/>
          <w:color w:val="1F1F1F"/>
          <w:sz w:val="22"/>
        </w:rPr>
        <w:t>Evaluate job-related evidence involving guests, coworkers, cleanliness, safety, honesty, and follow-through.</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Interview</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Workbook teaching tool; cross-reference GRV-HR06.</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Care Evidence Question Bank: Guided Practice Copy | Controlled operating record: GRV-HR08 Restaurant Values &amp; Team-Fit Evidence Page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7: Candidate Evidence Scorecard</w:t>
      </w:r>
    </w:p>
    <w:p>
      <w:pPr>
        <w:spacing w:after="140" w:line="257" w:lineRule="auto"/>
      </w:pPr>
      <w:r>
        <w:rPr>
          <w:rFonts w:ascii="Arial" w:hAnsi="Arial"/>
          <w:b w:val="0"/>
          <w:i w:val="0"/>
          <w:color w:val="1F1F1F"/>
          <w:sz w:val="22"/>
        </w:rPr>
        <w:t>Use anchored criteria and evidence notes before preference discussion.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Selection</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Candidate Evidence Scorecard: Guided Practice Copy | Controlled operating record: GRV-HR10 Selection Decision &amp; Offer Approval</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8: Realistic Job Preview Checklist</w:t>
      </w:r>
    </w:p>
    <w:p>
      <w:pPr>
        <w:spacing w:after="140" w:line="257" w:lineRule="auto"/>
      </w:pPr>
      <w:r>
        <w:rPr>
          <w:rFonts w:ascii="Arial" w:hAnsi="Arial"/>
          <w:b w:val="0"/>
          <w:i w:val="0"/>
          <w:color w:val="1F1F1F"/>
          <w:sz w:val="22"/>
        </w:rPr>
        <w:t>Confirm the candidate understands schedule, pace, duties, environment, expectations, and support.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Interview or second look</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Realistic Job Preview Checklist: Guided Practice Copy | Controlled operating record: GRV-HR02 Position Success Profile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9: Reference and Verification Record</w:t>
      </w:r>
    </w:p>
    <w:p>
      <w:pPr>
        <w:spacing w:after="140" w:line="257" w:lineRule="auto"/>
      </w:pPr>
      <w:r>
        <w:rPr>
          <w:rFonts w:ascii="Arial" w:hAnsi="Arial"/>
          <w:b w:val="0"/>
          <w:i w:val="0"/>
          <w:color w:val="1F1F1F"/>
          <w:sz w:val="22"/>
        </w:rPr>
        <w:t>Record authorization, source, job-related questions, responses, inconsistencies, and review.</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Pre-offer or authorized stage</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Reference and Verification Record: Guided Practice Copy | Controlled operating record: GRV-HR09 Reference / Prior Experience Review Record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10: Hiring Decision Record</w:t>
      </w:r>
    </w:p>
    <w:p>
      <w:pPr>
        <w:spacing w:after="140" w:line="257" w:lineRule="auto"/>
      </w:pPr>
      <w:r>
        <w:rPr>
          <w:rFonts w:ascii="Arial" w:hAnsi="Arial"/>
          <w:b w:val="0"/>
          <w:i w:val="0"/>
          <w:color w:val="1F1F1F"/>
          <w:sz w:val="22"/>
        </w:rPr>
        <w:t>Record criteria, evidence, decision, approval, conditions, communication, and retention requirement.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Selection</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Hiring Decision Record: Guided Practice Copy | Controlled operating record: GRV-HR10 Selection Decision &amp; Offer Approval</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11: Preboarding Readiness Checklist</w:t>
      </w:r>
    </w:p>
    <w:p>
      <w:pPr>
        <w:spacing w:after="140" w:line="257" w:lineRule="auto"/>
      </w:pPr>
      <w:r>
        <w:rPr>
          <w:rFonts w:ascii="Arial" w:hAnsi="Arial"/>
          <w:b w:val="0"/>
          <w:i w:val="0"/>
          <w:color w:val="1F1F1F"/>
          <w:sz w:val="22"/>
        </w:rPr>
        <w:t>Verify paperwork route, schedule, trainer, uniform, access, arrival, and communication.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Before Day One</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Preboarding Readiness Checklist: Guided Practice Copy | Controlled operating record: GRV-HR11 Preboarding Readiness Checklist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12: First Week Fit and Support Check</w:t>
      </w:r>
    </w:p>
    <w:p>
      <w:pPr>
        <w:spacing w:after="140" w:line="257" w:lineRule="auto"/>
      </w:pPr>
      <w:r>
        <w:rPr>
          <w:rFonts w:ascii="Arial" w:hAnsi="Arial"/>
          <w:b w:val="0"/>
          <w:i w:val="0"/>
          <w:color w:val="1F1F1F"/>
          <w:sz w:val="22"/>
        </w:rPr>
        <w:t>Ask what is clear, unclear, missing, harder than expected, and requiring support.</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First week</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GRV-HR12.</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First Week Fit and Support Check: Guided Practice Copy | Controlled operating record: GRV-HR12 First Week Fit &amp; Support Check</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13: New Hire Check In Record</w:t>
      </w:r>
    </w:p>
    <w:p>
      <w:pPr>
        <w:spacing w:after="140" w:line="257" w:lineRule="auto"/>
      </w:pPr>
      <w:r>
        <w:rPr>
          <w:rFonts w:ascii="Arial" w:hAnsi="Arial"/>
          <w:b w:val="0"/>
          <w:i w:val="0"/>
          <w:color w:val="1F1F1F"/>
          <w:sz w:val="22"/>
        </w:rPr>
        <w:t>Track support, training, fit, attendance communication, concerns, commitments, and follow-up.</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Days 7 14 30 60 and 90</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New Hire Check In Record: Guided Practice Copy | Controlled operating record: GRV-HR13 30-Day Retention Conversation Guide; GRV-HR14 60-Day Retention &amp; Development Check; GRV-HR15 90-Day Employment Fit Review</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14: Early Retention Risk Review</w:t>
      </w:r>
    </w:p>
    <w:p>
      <w:pPr>
        <w:spacing w:after="140" w:line="257" w:lineRule="auto"/>
      </w:pPr>
      <w:r>
        <w:rPr>
          <w:rFonts w:ascii="Arial" w:hAnsi="Arial"/>
          <w:b w:val="0"/>
          <w:i w:val="0"/>
          <w:color w:val="1F1F1F"/>
          <w:sz w:val="22"/>
        </w:rPr>
        <w:t>Separate schedule, training, workload, team, manager, transportation, role, and conduct risks.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First 90 days</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Early Retention Risk Review: Guided Practice Copy | Controlled operating record: GRV-HR27 Retention Risk Register</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15: New Hire Coaching Record</w:t>
      </w:r>
    </w:p>
    <w:p>
      <w:pPr>
        <w:spacing w:after="140" w:line="257" w:lineRule="auto"/>
      </w:pPr>
      <w:r>
        <w:rPr>
          <w:rFonts w:ascii="Arial" w:hAnsi="Arial"/>
          <w:b w:val="0"/>
          <w:i w:val="0"/>
          <w:color w:val="1F1F1F"/>
          <w:sz w:val="22"/>
        </w:rPr>
        <w:t>Record facts, standard, employee perspective, support, action, deadline, and verification.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As needed</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New Hire Coaching Record: Guided Practice Copy | Controlled operating record: GRV-HR21 Coaching Route Decision; GRV-HR22 Performance Documentation Standard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16: Stay Conversation Guide</w:t>
      </w:r>
    </w:p>
    <w:p>
      <w:pPr>
        <w:spacing w:after="140" w:line="257" w:lineRule="auto"/>
      </w:pPr>
      <w:r>
        <w:rPr>
          <w:rFonts w:ascii="Arial" w:hAnsi="Arial"/>
          <w:b w:val="0"/>
          <w:i w:val="0"/>
          <w:color w:val="1F1F1F"/>
          <w:sz w:val="22"/>
        </w:rPr>
        <w:t>Identify controllable reasons to stay, pressure points, support, growth, and commitments.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Quarterly or at risk</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Stay Conversation Guide: Guided Practice Copy | Controlled operating record: GRV-HR13 30-Day Retention Conversation Guide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17: Employee Concern Intake</w:t>
      </w:r>
    </w:p>
    <w:p>
      <w:pPr>
        <w:spacing w:after="140" w:line="257" w:lineRule="auto"/>
      </w:pPr>
      <w:r>
        <w:rPr>
          <w:rFonts w:ascii="Arial" w:hAnsi="Arial"/>
          <w:b w:val="0"/>
          <w:i w:val="0"/>
          <w:color w:val="1F1F1F"/>
          <w:sz w:val="22"/>
        </w:rPr>
        <w:t>Provide a direct, factual route for concerns and protect against gossip, retaliation, and casual disclosure.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As needed</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Employee Concern Intake: Guided Practice Copy | Controlled operating record: GRV-HR16 Employee Concern Intake Record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18: Corrective Action Review Checklist</w:t>
      </w:r>
    </w:p>
    <w:p>
      <w:pPr>
        <w:spacing w:after="140" w:line="257" w:lineRule="auto"/>
      </w:pPr>
      <w:r>
        <w:rPr>
          <w:rFonts w:ascii="Arial" w:hAnsi="Arial"/>
          <w:b w:val="0"/>
          <w:i w:val="0"/>
          <w:color w:val="1F1F1F"/>
          <w:sz w:val="22"/>
        </w:rPr>
        <w:t>Verify facts, policy, consistency, prior guidance, authority, employee response, and review route.</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Before corrective action</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GRV-HR23.</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Corrective Action Review Checklist: Guided Practice Copy | Controlled operating record: GRV-HR23 Corrective-Action Review Checklist</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19: Exit Conversation Record</w:t>
      </w:r>
    </w:p>
    <w:p>
      <w:pPr>
        <w:spacing w:after="140" w:line="257" w:lineRule="auto"/>
      </w:pPr>
      <w:r>
        <w:rPr>
          <w:rFonts w:ascii="Arial" w:hAnsi="Arial"/>
          <w:b w:val="0"/>
          <w:i w:val="0"/>
          <w:color w:val="1F1F1F"/>
          <w:sz w:val="22"/>
        </w:rPr>
        <w:t>Capture reason, employee perspective, operational lessons, property, access, and required routing.</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At separation</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Exit Conversation Record: Guided Practice Copy | Controlled operating record: GRV-HR25 Separation / Exit Learning Record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20: Turnover Pattern Analysis</w:t>
      </w:r>
    </w:p>
    <w:p>
      <w:pPr>
        <w:spacing w:after="140" w:line="257" w:lineRule="auto"/>
      </w:pPr>
      <w:r>
        <w:rPr>
          <w:rFonts w:ascii="Arial" w:hAnsi="Arial"/>
          <w:b w:val="0"/>
          <w:i w:val="0"/>
          <w:color w:val="1F1F1F"/>
          <w:sz w:val="22"/>
        </w:rPr>
        <w:t>Analyze early loss, regrettable loss, source, role, manager, schedule, reason, and corrective action.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Monthly and quarterly</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Use existing GRV-HR tool title; verify exact ID.</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Turnover Pattern Analysis: Guided Practice Copy | Controlled operating record: GRV-HR26 Turnover Pattern Analysis</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21: Weekly Hiring and Retention Review</w:t>
      </w:r>
    </w:p>
    <w:p>
      <w:pPr>
        <w:spacing w:after="140" w:line="257" w:lineRule="auto"/>
      </w:pPr>
      <w:r>
        <w:rPr>
          <w:rFonts w:ascii="Arial" w:hAnsi="Arial"/>
          <w:b w:val="0"/>
          <w:i w:val="0"/>
          <w:color w:val="1F1F1F"/>
          <w:sz w:val="22"/>
        </w:rPr>
        <w:t>Review openings, candidates, offers, starts, check-ins, risks, actions, owners, and deadlines.</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Weekly</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Map to current GRV-HR register.</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Weekly Hiring and Retention Review: Guided Practice Copy | Controlled operating record: GRV-HR29 Monthly Workforce Health Scorecard</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Guided Practice Tool 22: 30 Day or 60 Day Installation Tracker</w:t>
      </w:r>
    </w:p>
    <w:p>
      <w:pPr>
        <w:spacing w:after="140" w:line="257" w:lineRule="auto"/>
      </w:pPr>
      <w:r>
        <w:rPr>
          <w:rFonts w:ascii="Arial" w:hAnsi="Arial"/>
          <w:b w:val="0"/>
          <w:i w:val="0"/>
          <w:color w:val="1F1F1F"/>
          <w:sz w:val="22"/>
        </w:rPr>
        <w:t>Track ownership, training, evidence, review, correction, adoption, and final decision.</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Use point  </w:t>
            </w:r>
            <w:r>
              <w:rPr>
                <w:rFonts w:ascii="Arial" w:hAnsi="Arial"/>
                <w:b w:val="0"/>
                <w:i w:val="0"/>
                <w:color w:val="1F1F1F"/>
                <w:sz w:val="19"/>
              </w:rPr>
              <w:t>During rollout</w:t>
            </w:r>
          </w:p>
        </w:tc>
      </w:tr>
    </w:tbl>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ID control  </w:t>
            </w:r>
            <w:r>
              <w:rPr>
                <w:rFonts w:ascii="Arial" w:hAnsi="Arial"/>
                <w:b w:val="0"/>
                <w:i w:val="0"/>
                <w:color w:val="1F1F1F"/>
                <w:sz w:val="19"/>
              </w:rPr>
              <w:t>Connect to GRV-IV; do not duplicate installation IDs.</w:t>
            </w:r>
          </w:p>
        </w:tc>
      </w:tr>
    </w:tbl>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384"/>
            <w:shd w:fill="333333"/>
            <w:vAlign w:val="center"/>
          </w:tcPr>
          <w:p>
            <w:r>
              <w:rPr>
                <w:rFonts w:ascii="Arial" w:hAnsi="Arial"/>
                <w:b/>
                <w:i w:val="0"/>
                <w:color w:val="FFFFFF"/>
                <w:sz w:val="17"/>
              </w:rPr>
              <w:t>Control question</w:t>
            </w:r>
          </w:p>
        </w:tc>
        <w:tc>
          <w:tcPr>
            <w:tcW w:type="dxa" w:w="6120"/>
            <w:shd w:fill="333333"/>
            <w:vAlign w:val="center"/>
          </w:tcPr>
          <w:p>
            <w:r>
              <w:rPr>
                <w:rFonts w:ascii="Arial" w:hAnsi="Arial"/>
                <w:b/>
                <w:i w:val="0"/>
                <w:color w:val="FFFFFF"/>
                <w:sz w:val="17"/>
              </w:rPr>
              <w:t>Working entry</w:t>
            </w:r>
          </w:p>
        </w:tc>
      </w:tr>
      <w:tr>
        <w:trPr>
          <w:cantSplit w:val="true"/>
        </w:trPr>
        <w:tc>
          <w:tcPr>
            <w:tcW w:type="dxa" w:w="3384"/>
            <w:vAlign w:val="center"/>
          </w:tcPr>
          <w:p>
            <w:pPr>
              <w:spacing w:after="0"/>
            </w:pPr>
            <w:r>
              <w:rPr>
                <w:rFonts w:ascii="Arial" w:hAnsi="Arial"/>
                <w:b w:val="0"/>
                <w:i w:val="0"/>
                <w:color w:val="1F1F1F"/>
                <w:sz w:val="17"/>
              </w:rPr>
              <w:t>What decision does this support?</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Who is authorized to complete it?</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Which evidence belongs here?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Which policy or controlled tool applies?</w:t>
            </w:r>
          </w:p>
        </w:tc>
        <w:tc>
          <w:tcPr>
            <w:tcW w:type="dxa" w:w="6120"/>
            <w:vAlign w:val="center"/>
            <w:shd w:fill="F6F6F6"/>
          </w:tcPr>
          <w:p>
            <w:pPr>
              <w:spacing w:after="0"/>
            </w:pPr>
            <w:r>
              <w:rPr>
                <w:rFonts w:ascii="Arial" w:hAnsi="Arial"/>
                <w:b w:val="0"/>
                <w:i w:val="0"/>
                <w:color w:val="1F1F1F"/>
                <w:sz w:val="17"/>
              </w:rPr>
            </w:r>
          </w:p>
        </w:tc>
      </w:tr>
      <w:tr>
        <w:trPr>
          <w:cantSplit w:val="true"/>
        </w:trPr>
        <w:tc>
          <w:tcPr>
            <w:tcW w:type="dxa" w:w="3384"/>
            <w:vAlign w:val="center"/>
          </w:tcPr>
          <w:p>
            <w:pPr>
              <w:spacing w:after="0"/>
            </w:pPr>
            <w:r>
              <w:rPr>
                <w:rFonts w:ascii="Arial" w:hAnsi="Arial"/>
                <w:b w:val="0"/>
                <w:i w:val="0"/>
                <w:color w:val="1F1F1F"/>
                <w:sz w:val="17"/>
              </w:rPr>
              <w:t>When is review due?</w:t>
            </w:r>
          </w:p>
        </w:tc>
        <w:tc>
          <w:tcPr>
            <w:tcW w:type="dxa" w:w="6120"/>
            <w:vAlign w:val="center"/>
          </w:tcPr>
          <w:p>
            <w:pPr>
              <w:spacing w:after="0"/>
            </w:pPr>
            <w:r>
              <w:rPr>
                <w:rFonts w:ascii="Arial" w:hAnsi="Arial"/>
                <w:b w:val="0"/>
                <w:i w:val="0"/>
                <w:color w:val="1F1F1F"/>
                <w:sz w:val="17"/>
              </w:rPr>
            </w:r>
          </w:p>
        </w:tc>
      </w:tr>
      <w:tr>
        <w:trPr>
          <w:cantSplit w:val="true"/>
        </w:trPr>
        <w:tc>
          <w:tcPr>
            <w:tcW w:type="dxa" w:w="3384"/>
            <w:vAlign w:val="center"/>
            <w:shd w:fill="F6F6F6"/>
          </w:tcPr>
          <w:p>
            <w:pPr>
              <w:spacing w:after="0"/>
            </w:pPr>
            <w:r>
              <w:rPr>
                <w:rFonts w:ascii="Arial" w:hAnsi="Arial"/>
                <w:b w:val="0"/>
                <w:i w:val="0"/>
                <w:color w:val="1F1F1F"/>
                <w:sz w:val="17"/>
              </w:rPr>
              <w:t>How will completion be verified?</w:t>
            </w:r>
          </w:p>
        </w:tc>
        <w:tc>
          <w:tcPr>
            <w:tcW w:type="dxa" w:w="6120"/>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MANAGER NOTES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Prepared by: ____________________   Date: __________   Reviewed by: ____________________</w:t>
      </w:r>
    </w:p>
    <w:p>
      <w:r>
        <w:br w:type="page"/>
      </w:r>
    </w:p>
    <w:p>
      <w:pPr>
        <w:pStyle w:val="Heading1"/>
      </w:pPr>
      <w:r>
        <w:t>30 Day or 60 Day Installation Tracker: Guided Practice Copy | Controlled operating record: GRV-HR30 90-Day Retention Improvement Plan</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5040"/>
        <w:gridCol w:w="5040"/>
      </w:tblGrid>
      <w:tr>
        <w:tc>
          <w:tcPr>
            <w:tcW w:type="dxa" w:w="3168"/>
            <w:shd w:fill="333333"/>
            <w:vAlign w:val="center"/>
          </w:tcPr>
          <w:p>
            <w:r>
              <w:rPr>
                <w:rFonts w:ascii="Arial" w:hAnsi="Arial"/>
                <w:b/>
                <w:i w:val="0"/>
                <w:color w:val="FFFFFF"/>
                <w:sz w:val="17"/>
              </w:rPr>
              <w:t>Record field</w:t>
            </w:r>
          </w:p>
        </w:tc>
        <w:tc>
          <w:tcPr>
            <w:tcW w:type="dxa" w:w="6336"/>
            <w:shd w:fill="333333"/>
            <w:vAlign w:val="center"/>
          </w:tcPr>
          <w:p>
            <w:r>
              <w:rPr>
                <w:rFonts w:ascii="Arial" w:hAnsi="Arial"/>
                <w:b/>
                <w:i w:val="0"/>
                <w:color w:val="FFFFFF"/>
                <w:sz w:val="17"/>
              </w:rPr>
              <w:t>Entry</w:t>
            </w:r>
          </w:p>
        </w:tc>
      </w:tr>
      <w:tr>
        <w:trPr>
          <w:cantSplit w:val="true"/>
        </w:trPr>
        <w:tc>
          <w:tcPr>
            <w:tcW w:type="dxa" w:w="3168"/>
            <w:vAlign w:val="center"/>
          </w:tcPr>
          <w:p>
            <w:pPr>
              <w:spacing w:after="0"/>
            </w:pPr>
            <w:r>
              <w:rPr>
                <w:rFonts w:ascii="Arial" w:hAnsi="Arial"/>
                <w:b w:val="0"/>
                <w:i w:val="0"/>
                <w:color w:val="1F1F1F"/>
                <w:sz w:val="17"/>
              </w:rPr>
              <w:t>Restaurant / location</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Role / employee / case ID</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Date and time</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Manager / owner</w:t>
            </w:r>
          </w:p>
        </w:tc>
        <w:tc>
          <w:tcPr>
            <w:tcW w:type="dxa" w:w="6336"/>
            <w:vAlign w:val="center"/>
            <w:shd w:fill="F6F6F6"/>
          </w:tcPr>
          <w:p>
            <w:pPr>
              <w:spacing w:after="0"/>
            </w:pPr>
            <w:r>
              <w:rPr>
                <w:rFonts w:ascii="Arial" w:hAnsi="Arial"/>
                <w:b w:val="0"/>
                <w:i w:val="0"/>
                <w:color w:val="1F1F1F"/>
                <w:sz w:val="17"/>
              </w:rPr>
            </w:r>
          </w:p>
        </w:tc>
      </w:tr>
      <w:tr>
        <w:trPr>
          <w:cantSplit w:val="true"/>
        </w:trPr>
        <w:tc>
          <w:tcPr>
            <w:tcW w:type="dxa" w:w="3168"/>
            <w:vAlign w:val="center"/>
          </w:tcPr>
          <w:p>
            <w:pPr>
              <w:spacing w:after="0"/>
            </w:pPr>
            <w:r>
              <w:rPr>
                <w:rFonts w:ascii="Arial" w:hAnsi="Arial"/>
                <w:b w:val="0"/>
                <w:i w:val="0"/>
                <w:color w:val="1F1F1F"/>
                <w:sz w:val="17"/>
              </w:rPr>
              <w:t>Relevant standard</w:t>
            </w:r>
          </w:p>
        </w:tc>
        <w:tc>
          <w:tcPr>
            <w:tcW w:type="dxa" w:w="6336"/>
            <w:vAlign w:val="center"/>
          </w:tcPr>
          <w:p>
            <w:pPr>
              <w:spacing w:after="0"/>
            </w:pPr>
            <w:r>
              <w:rPr>
                <w:rFonts w:ascii="Arial" w:hAnsi="Arial"/>
                <w:b w:val="0"/>
                <w:i w:val="0"/>
                <w:color w:val="1F1F1F"/>
                <w:sz w:val="17"/>
              </w:rPr>
            </w:r>
          </w:p>
        </w:tc>
      </w:tr>
      <w:tr>
        <w:trPr>
          <w:cantSplit w:val="true"/>
        </w:trPr>
        <w:tc>
          <w:tcPr>
            <w:tcW w:type="dxa" w:w="3168"/>
            <w:vAlign w:val="center"/>
            <w:shd w:fill="F6F6F6"/>
          </w:tcPr>
          <w:p>
            <w:pPr>
              <w:spacing w:after="0"/>
            </w:pPr>
            <w:r>
              <w:rPr>
                <w:rFonts w:ascii="Arial" w:hAnsi="Arial"/>
                <w:b w:val="0"/>
                <w:i w:val="0"/>
                <w:color w:val="1F1F1F"/>
                <w:sz w:val="17"/>
              </w:rPr>
              <w:t>Source or record checked</w:t>
            </w:r>
          </w:p>
        </w:tc>
        <w:tc>
          <w:tcPr>
            <w:tcW w:type="dxa" w:w="6336"/>
            <w:vAlign w:val="center"/>
            <w:shd w:fill="F6F6F6"/>
          </w:tcPr>
          <w:p>
            <w:pPr>
              <w:spacing w:after="0"/>
            </w:pPr>
            <w:r>
              <w:rPr>
                <w:rFonts w:ascii="Arial" w:hAnsi="Arial"/>
                <w:b w:val="0"/>
                <w:i w:val="0"/>
                <w:color w:val="1F1F1F"/>
                <w:sz w:val="17"/>
              </w:rPr>
            </w:r>
          </w:p>
        </w:tc>
      </w:tr>
    </w:tbl>
    <w:p>
      <w:pPr>
        <w:spacing w:before="60" w:after="60"/>
      </w:pPr>
      <w:r>
        <w:rPr>
          <w:rFonts w:ascii="Arial" w:hAnsi="Arial"/>
          <w:b/>
          <w:i w:val="0"/>
          <w:color w:val="5A5A5A"/>
          <w:sz w:val="18"/>
        </w:rPr>
        <w:t>VERIFIED FACTS AND DIRECT STATEMENTS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ANALYSIS: FACTS VERSUS ASSUMPTIONS</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ACTION, RESPONSIBLE OWNER, AND DUE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EMPLOYEE OR CANDIDATE COMMUNICATION</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VERIFICATION RESULT AND FOLLOW-UP 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140" w:line="257" w:lineRule="auto"/>
      </w:pPr>
      <w:r>
        <w:rPr>
          <w:rFonts w:ascii="Arial" w:hAnsi="Arial"/>
          <w:b w:val="0"/>
          <w:i w:val="0"/>
          <w:color w:val="1F1F1F"/>
          <w:sz w:val="18"/>
        </w:rPr>
        <w:t>Signature: ____________________   Review date: __________   Status: ☐ Open  ☐ Verified  ☐ Escalated</w:t>
      </w:r>
    </w:p>
    <w:p>
      <w:r>
        <w:br w:type="page"/>
      </w:r>
    </w:p>
    <w:p>
      <w:pPr>
        <w:pStyle w:val="Heading1"/>
      </w:pPr>
      <w:r>
        <w:t>30-Day Quick Start</w:t>
      </w:r>
    </w:p>
    <w:p>
      <w:pPr>
        <w:spacing w:after="140" w:line="257" w:lineRule="auto"/>
      </w:pPr>
      <w:r>
        <w:rPr>
          <w:rFonts w:ascii="Arial" w:hAnsi="Arial"/>
          <w:b w:val="0"/>
          <w:i w:val="0"/>
          <w:color w:val="1F1F1F"/>
          <w:sz w:val="20"/>
        </w:rPr>
        <w:t>Begin with one visible problem, one accountable owner, and three to five controlled tools. Do not launch all forms at once.</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3360"/>
        <w:gridCol w:w="3360"/>
        <w:gridCol w:w="3360"/>
      </w:tblGrid>
      <w:tr>
        <w:tc>
          <w:tcPr>
            <w:tcW w:type="dxa" w:w="936"/>
            <w:shd w:fill="333333"/>
            <w:vAlign w:val="center"/>
          </w:tcPr>
          <w:p>
            <w:r>
              <w:rPr>
                <w:rFonts w:ascii="Arial" w:hAnsi="Arial"/>
                <w:b/>
                <w:i w:val="0"/>
                <w:color w:val="FFFFFF"/>
                <w:sz w:val="17"/>
              </w:rPr>
              <w:t>Week</w:t>
            </w:r>
          </w:p>
        </w:tc>
        <w:tc>
          <w:tcPr>
            <w:tcW w:type="dxa" w:w="4464"/>
            <w:shd w:fill="333333"/>
            <w:vAlign w:val="center"/>
          </w:tcPr>
          <w:p>
            <w:r>
              <w:rPr>
                <w:rFonts w:ascii="Arial" w:hAnsi="Arial"/>
                <w:b/>
                <w:i w:val="0"/>
                <w:color w:val="FFFFFF"/>
                <w:sz w:val="17"/>
              </w:rPr>
              <w:t>Focus</w:t>
            </w:r>
          </w:p>
        </w:tc>
        <w:tc>
          <w:tcPr>
            <w:tcW w:type="dxa" w:w="4104"/>
            <w:shd w:fill="333333"/>
            <w:vAlign w:val="center"/>
          </w:tcPr>
          <w:p>
            <w:r>
              <w:rPr>
                <w:rFonts w:ascii="Arial" w:hAnsi="Arial"/>
                <w:b/>
                <w:i w:val="0"/>
                <w:color w:val="FFFFFF"/>
                <w:sz w:val="17"/>
              </w:rPr>
              <w:t>Evidence</w:t>
            </w:r>
          </w:p>
        </w:tc>
      </w:tr>
      <w:tr>
        <w:trPr>
          <w:cantSplit w:val="true"/>
        </w:trPr>
        <w:tc>
          <w:tcPr>
            <w:tcW w:type="dxa" w:w="936"/>
            <w:vAlign w:val="center"/>
          </w:tcPr>
          <w:p>
            <w:pPr>
              <w:spacing w:after="0"/>
            </w:pPr>
            <w:r>
              <w:rPr>
                <w:rFonts w:ascii="Arial" w:hAnsi="Arial"/>
                <w:b w:val="0"/>
                <w:i w:val="0"/>
                <w:color w:val="1F1F1F"/>
                <w:sz w:val="17"/>
              </w:rPr>
              <w:t>1</w:t>
            </w:r>
          </w:p>
        </w:tc>
        <w:tc>
          <w:tcPr>
            <w:tcW w:type="dxa" w:w="4464"/>
            <w:vAlign w:val="center"/>
          </w:tcPr>
          <w:p>
            <w:pPr>
              <w:spacing w:after="0"/>
            </w:pPr>
            <w:r>
              <w:rPr>
                <w:rFonts w:ascii="Arial" w:hAnsi="Arial"/>
                <w:b w:val="0"/>
                <w:i w:val="0"/>
                <w:color w:val="1F1F1F"/>
                <w:sz w:val="17"/>
              </w:rPr>
              <w:t>Verify workforce need and position success profile</w:t>
            </w:r>
          </w:p>
        </w:tc>
        <w:tc>
          <w:tcPr>
            <w:tcW w:type="dxa" w:w="4104"/>
            <w:vAlign w:val="center"/>
          </w:tcPr>
          <w:p>
            <w:pPr>
              <w:spacing w:after="0"/>
            </w:pPr>
            <w:r>
              <w:rPr>
                <w:rFonts w:ascii="Arial" w:hAnsi="Arial"/>
                <w:b w:val="0"/>
                <w:i w:val="0"/>
                <w:color w:val="1F1F1F"/>
                <w:sz w:val="17"/>
              </w:rPr>
              <w:t>Approved GRV-HR01 and GRV-HR02; owner named</w:t>
            </w:r>
          </w:p>
        </w:tc>
      </w:tr>
      <w:tr>
        <w:trPr>
          <w:cantSplit w:val="true"/>
        </w:trPr>
        <w:tc>
          <w:tcPr>
            <w:tcW w:type="dxa" w:w="936"/>
            <w:vAlign w:val="center"/>
            <w:shd w:fill="F6F6F6"/>
          </w:tcPr>
          <w:p>
            <w:pPr>
              <w:spacing w:after="0"/>
            </w:pPr>
            <w:r>
              <w:rPr>
                <w:rFonts w:ascii="Arial" w:hAnsi="Arial"/>
                <w:b w:val="0"/>
                <w:i w:val="0"/>
                <w:color w:val="1F1F1F"/>
                <w:sz w:val="17"/>
              </w:rPr>
              <w:t>2</w:t>
            </w:r>
          </w:p>
        </w:tc>
        <w:tc>
          <w:tcPr>
            <w:tcW w:type="dxa" w:w="4464"/>
            <w:vAlign w:val="center"/>
            <w:shd w:fill="F6F6F6"/>
          </w:tcPr>
          <w:p>
            <w:pPr>
              <w:spacing w:after="0"/>
            </w:pPr>
            <w:r>
              <w:rPr>
                <w:rFonts w:ascii="Arial" w:hAnsi="Arial"/>
                <w:b w:val="0"/>
                <w:i w:val="0"/>
                <w:color w:val="1F1F1F"/>
                <w:sz w:val="17"/>
              </w:rPr>
              <w:t>Use one structured interview and evidence score</w:t>
            </w:r>
          </w:p>
        </w:tc>
        <w:tc>
          <w:tcPr>
            <w:tcW w:type="dxa" w:w="4104"/>
            <w:vAlign w:val="center"/>
            <w:shd w:fill="F6F6F6"/>
          </w:tcPr>
          <w:p>
            <w:pPr>
              <w:spacing w:after="0"/>
            </w:pPr>
            <w:r>
              <w:rPr>
                <w:rFonts w:ascii="Arial" w:hAnsi="Arial"/>
                <w:b w:val="0"/>
                <w:i w:val="0"/>
                <w:color w:val="1F1F1F"/>
                <w:sz w:val="17"/>
              </w:rPr>
              <w:t>Comparable questions; notes; decision record</w:t>
            </w:r>
          </w:p>
        </w:tc>
      </w:tr>
      <w:tr>
        <w:trPr>
          <w:cantSplit w:val="true"/>
        </w:trPr>
        <w:tc>
          <w:tcPr>
            <w:tcW w:type="dxa" w:w="936"/>
            <w:vAlign w:val="center"/>
          </w:tcPr>
          <w:p>
            <w:pPr>
              <w:spacing w:after="0"/>
            </w:pPr>
            <w:r>
              <w:rPr>
                <w:rFonts w:ascii="Arial" w:hAnsi="Arial"/>
                <w:b w:val="0"/>
                <w:i w:val="0"/>
                <w:color w:val="1F1F1F"/>
                <w:sz w:val="17"/>
              </w:rPr>
              <w:t>3</w:t>
            </w:r>
          </w:p>
        </w:tc>
        <w:tc>
          <w:tcPr>
            <w:tcW w:type="dxa" w:w="4464"/>
            <w:vAlign w:val="center"/>
          </w:tcPr>
          <w:p>
            <w:pPr>
              <w:spacing w:after="0"/>
            </w:pPr>
            <w:r>
              <w:rPr>
                <w:rFonts w:ascii="Arial" w:hAnsi="Arial"/>
                <w:b w:val="0"/>
                <w:i w:val="0"/>
                <w:color w:val="1F1F1F"/>
                <w:sz w:val="17"/>
              </w:rPr>
              <w:t>Protect one start and conduct the first support check</w:t>
            </w:r>
          </w:p>
        </w:tc>
        <w:tc>
          <w:tcPr>
            <w:tcW w:type="dxa" w:w="4104"/>
            <w:vAlign w:val="center"/>
          </w:tcPr>
          <w:p>
            <w:pPr>
              <w:spacing w:after="0"/>
            </w:pPr>
            <w:r>
              <w:rPr>
                <w:rFonts w:ascii="Arial" w:hAnsi="Arial"/>
                <w:b w:val="0"/>
                <w:i w:val="0"/>
                <w:color w:val="1F1F1F"/>
                <w:sz w:val="17"/>
              </w:rPr>
              <w:t>Trainer, schedule, access, GRV-HR12, issues routed</w:t>
            </w:r>
          </w:p>
        </w:tc>
      </w:tr>
      <w:tr>
        <w:trPr>
          <w:cantSplit w:val="true"/>
        </w:trPr>
        <w:tc>
          <w:tcPr>
            <w:tcW w:type="dxa" w:w="936"/>
            <w:vAlign w:val="center"/>
            <w:shd w:fill="F6F6F6"/>
          </w:tcPr>
          <w:p>
            <w:pPr>
              <w:spacing w:after="0"/>
            </w:pPr>
            <w:r>
              <w:rPr>
                <w:rFonts w:ascii="Arial" w:hAnsi="Arial"/>
                <w:b w:val="0"/>
                <w:i w:val="0"/>
                <w:color w:val="1F1F1F"/>
                <w:sz w:val="17"/>
              </w:rPr>
              <w:t>4</w:t>
            </w:r>
          </w:p>
        </w:tc>
        <w:tc>
          <w:tcPr>
            <w:tcW w:type="dxa" w:w="4464"/>
            <w:vAlign w:val="center"/>
            <w:shd w:fill="F6F6F6"/>
          </w:tcPr>
          <w:p>
            <w:pPr>
              <w:spacing w:after="0"/>
            </w:pPr>
            <w:r>
              <w:rPr>
                <w:rFonts w:ascii="Arial" w:hAnsi="Arial"/>
                <w:b w:val="0"/>
                <w:i w:val="0"/>
                <w:color w:val="1F1F1F"/>
                <w:sz w:val="17"/>
              </w:rPr>
              <w:t>Review results and correct the process</w:t>
            </w:r>
          </w:p>
        </w:tc>
        <w:tc>
          <w:tcPr>
            <w:tcW w:type="dxa" w:w="4104"/>
            <w:vAlign w:val="center"/>
            <w:shd w:fill="F6F6F6"/>
          </w:tcPr>
          <w:p>
            <w:pPr>
              <w:spacing w:after="0"/>
            </w:pPr>
            <w:r>
              <w:rPr>
                <w:rFonts w:ascii="Arial" w:hAnsi="Arial"/>
                <w:b w:val="0"/>
                <w:i w:val="0"/>
                <w:color w:val="1F1F1F"/>
                <w:sz w:val="17"/>
              </w:rPr>
              <w:t>Vacancies, starts, risks, actions, owner, due dates</w:t>
            </w:r>
          </w:p>
        </w:tc>
      </w:tr>
    </w:tbl>
    <w:p>
      <w:pPr>
        <w:spacing w:before="60" w:after="60"/>
      </w:pPr>
      <w:r>
        <w:rPr>
          <w:rFonts w:ascii="Arial" w:hAnsi="Arial"/>
          <w:b/>
          <w:i w:val="0"/>
          <w:color w:val="5A5A5A"/>
          <w:sz w:val="18"/>
        </w:rPr>
        <w:t>THE ONE PROBLEM WE ARE SOLVING</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OWNER AND WEEKLY REVIEW TIME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DAY-30 DECISION: ADOPT, CORRECT, EXPAND, OR PAUSE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r>
        <w:br w:type="page"/>
      </w:r>
    </w:p>
    <w:p>
      <w:pPr>
        <w:pStyle w:val="Heading1"/>
      </w:pPr>
      <w:r>
        <w:t>Federal Compliance Verification Notes</w:t>
      </w:r>
    </w:p>
    <w:p>
      <w:pPr>
        <w:spacing w:after="140" w:line="257" w:lineRule="auto"/>
      </w:pPr>
      <w:r>
        <w:rPr>
          <w:rFonts w:ascii="Arial" w:hAnsi="Arial"/>
          <w:b w:val="0"/>
          <w:i w:val="0"/>
          <w:color w:val="1F1F1F"/>
          <w:sz w:val="20"/>
        </w:rPr>
        <w:t>Checked September 9, 2026. These sources establish federal starting points only. Verify the current page, current forms and instructions, and applicable state/local/company requirements before action.</w:t>
      </w:r>
    </w:p>
    <w:tbl>
      <w:tblPr>
        <w:tblW w:type="auto" w:w="0"/>
        <w:jc w:val="center"/>
        <w:tblLayout w:type="fixed"/>
        <w:tblLook w:firstColumn="1" w:firstRow="1" w:lastColumn="0" w:lastRow="0" w:noHBand="0" w:noVBand="1" w:val="04A0"/>
        <w:tblBorders>
          <w:top w:val="single" w:sz="5" w:color="B7B7B7"/>
          <w:left w:val="single" w:sz="5" w:color="B7B7B7"/>
          <w:bottom w:val="single" w:sz="5" w:color="B7B7B7"/>
          <w:right w:val="single" w:sz="5" w:color="B7B7B7"/>
          <w:insideH w:val="single" w:sz="5" w:color="B7B7B7"/>
          <w:insideV w:val="single" w:sz="5" w:color="B7B7B7"/>
        </w:tblBorders>
      </w:tblPr>
      <w:tblGrid>
        <w:gridCol w:w="3360"/>
        <w:gridCol w:w="3360"/>
        <w:gridCol w:w="3360"/>
      </w:tblGrid>
      <w:tr>
        <w:tc>
          <w:tcPr>
            <w:tcW w:type="dxa" w:w="2592"/>
            <w:shd w:fill="333333"/>
            <w:vAlign w:val="center"/>
          </w:tcPr>
          <w:p>
            <w:r>
              <w:rPr>
                <w:rFonts w:ascii="Arial" w:hAnsi="Arial"/>
                <w:b/>
                <w:i w:val="0"/>
                <w:color w:val="FFFFFF"/>
                <w:sz w:val="17"/>
              </w:rPr>
              <w:t>Authority</w:t>
            </w:r>
          </w:p>
        </w:tc>
        <w:tc>
          <w:tcPr>
            <w:tcW w:type="dxa" w:w="3816"/>
            <w:shd w:fill="333333"/>
            <w:vAlign w:val="center"/>
          </w:tcPr>
          <w:p>
            <w:r>
              <w:rPr>
                <w:rFonts w:ascii="Arial" w:hAnsi="Arial"/>
                <w:b/>
                <w:i w:val="0"/>
                <w:color w:val="FFFFFF"/>
                <w:sz w:val="17"/>
              </w:rPr>
              <w:t>Use</w:t>
            </w:r>
          </w:p>
        </w:tc>
        <w:tc>
          <w:tcPr>
            <w:tcW w:type="dxa" w:w="3960"/>
            <w:shd w:fill="333333"/>
            <w:vAlign w:val="center"/>
          </w:tcPr>
          <w:p>
            <w:r>
              <w:rPr>
                <w:rFonts w:ascii="Arial" w:hAnsi="Arial"/>
                <w:b/>
                <w:i w:val="0"/>
                <w:color w:val="FFFFFF"/>
                <w:sz w:val="17"/>
              </w:rPr>
              <w:t>Official page</w:t>
            </w:r>
          </w:p>
        </w:tc>
      </w:tr>
      <w:tr>
        <w:trPr>
          <w:cantSplit w:val="true"/>
        </w:trPr>
        <w:tc>
          <w:tcPr>
            <w:tcW w:type="dxa" w:w="2592"/>
            <w:vAlign w:val="center"/>
          </w:tcPr>
          <w:p>
            <w:pPr>
              <w:spacing w:after="0"/>
            </w:pPr>
            <w:r>
              <w:rPr>
                <w:rFonts w:ascii="Arial" w:hAnsi="Arial"/>
                <w:b w:val="0"/>
                <w:i w:val="0"/>
                <w:color w:val="1F1F1F"/>
                <w:sz w:val="15"/>
              </w:rPr>
              <w:t>U.S. Equal Employment Opportunity Commission</w:t>
            </w:r>
          </w:p>
        </w:tc>
        <w:tc>
          <w:tcPr>
            <w:tcW w:type="dxa" w:w="3816"/>
            <w:vAlign w:val="center"/>
          </w:tcPr>
          <w:p>
            <w:pPr>
              <w:spacing w:after="0"/>
            </w:pPr>
            <w:r>
              <w:rPr>
                <w:rFonts w:ascii="Arial" w:hAnsi="Arial"/>
                <w:b w:val="0"/>
                <w:i w:val="0"/>
                <w:color w:val="1F1F1F"/>
                <w:sz w:val="15"/>
              </w:rPr>
              <w:t>Prohibited Employment Policies/Practices and applicant guidance</w:t>
            </w:r>
          </w:p>
        </w:tc>
        <w:tc>
          <w:tcPr>
            <w:tcW w:type="dxa" w:w="3960"/>
            <w:vAlign w:val="center"/>
          </w:tcPr>
          <w:p>
            <w:pPr>
              <w:spacing w:after="0"/>
            </w:pPr>
            <w:r>
              <w:rPr>
                <w:rFonts w:ascii="Arial" w:hAnsi="Arial"/>
                <w:b w:val="0"/>
                <w:i w:val="0"/>
                <w:color w:val="1F1F1F"/>
                <w:sz w:val="15"/>
              </w:rPr>
              <w:t>https://www.eeoc.gov/prohibited-employment-policiespractices</w:t>
            </w:r>
          </w:p>
        </w:tc>
      </w:tr>
      <w:tr>
        <w:trPr>
          <w:cantSplit w:val="true"/>
        </w:trPr>
        <w:tc>
          <w:tcPr>
            <w:tcW w:type="dxa" w:w="2592"/>
            <w:vAlign w:val="center"/>
            <w:shd w:fill="F6F6F6"/>
          </w:tcPr>
          <w:p>
            <w:pPr>
              <w:spacing w:after="0"/>
            </w:pPr>
            <w:r>
              <w:rPr>
                <w:rFonts w:ascii="Arial" w:hAnsi="Arial"/>
                <w:b w:val="0"/>
                <w:i w:val="0"/>
                <w:color w:val="1F1F1F"/>
                <w:sz w:val="15"/>
              </w:rPr>
              <w:t>U.S. Citizenship and Immigration Services</w:t>
            </w:r>
          </w:p>
        </w:tc>
        <w:tc>
          <w:tcPr>
            <w:tcW w:type="dxa" w:w="3816"/>
            <w:vAlign w:val="center"/>
            <w:shd w:fill="F6F6F6"/>
          </w:tcPr>
          <w:p>
            <w:pPr>
              <w:spacing w:after="0"/>
            </w:pPr>
            <w:r>
              <w:rPr>
                <w:rFonts w:ascii="Arial" w:hAnsi="Arial"/>
                <w:b w:val="0"/>
                <w:i w:val="0"/>
                <w:color w:val="1F1F1F"/>
                <w:sz w:val="15"/>
              </w:rPr>
              <w:t>I-9 Central and current Form I-9 instructions</w:t>
            </w:r>
          </w:p>
        </w:tc>
        <w:tc>
          <w:tcPr>
            <w:tcW w:type="dxa" w:w="3960"/>
            <w:vAlign w:val="center"/>
            <w:shd w:fill="F6F6F6"/>
          </w:tcPr>
          <w:p>
            <w:pPr>
              <w:spacing w:after="0"/>
            </w:pPr>
            <w:r>
              <w:rPr>
                <w:rFonts w:ascii="Arial" w:hAnsi="Arial"/>
                <w:b w:val="0"/>
                <w:i w:val="0"/>
                <w:color w:val="1F1F1F"/>
                <w:sz w:val="15"/>
              </w:rPr>
              <w:t>https://www.uscis.gov/i-9-central</w:t>
            </w:r>
          </w:p>
        </w:tc>
      </w:tr>
      <w:tr>
        <w:trPr>
          <w:cantSplit w:val="true"/>
        </w:trPr>
        <w:tc>
          <w:tcPr>
            <w:tcW w:type="dxa" w:w="2592"/>
            <w:vAlign w:val="center"/>
          </w:tcPr>
          <w:p>
            <w:pPr>
              <w:spacing w:after="0"/>
            </w:pPr>
            <w:r>
              <w:rPr>
                <w:rFonts w:ascii="Arial" w:hAnsi="Arial"/>
                <w:b w:val="0"/>
                <w:i w:val="0"/>
                <w:color w:val="1F1F1F"/>
                <w:sz w:val="15"/>
              </w:rPr>
              <w:t>Federal Trade Commission</w:t>
            </w:r>
          </w:p>
        </w:tc>
        <w:tc>
          <w:tcPr>
            <w:tcW w:type="dxa" w:w="3816"/>
            <w:vAlign w:val="center"/>
          </w:tcPr>
          <w:p>
            <w:pPr>
              <w:spacing w:after="0"/>
            </w:pPr>
            <w:r>
              <w:rPr>
                <w:rFonts w:ascii="Arial" w:hAnsi="Arial"/>
                <w:b w:val="0"/>
                <w:i w:val="0"/>
                <w:color w:val="1F1F1F"/>
                <w:sz w:val="15"/>
              </w:rPr>
              <w:t>Background checks and Fair Credit Reporting Act employer/consumer guidance</w:t>
            </w:r>
          </w:p>
        </w:tc>
        <w:tc>
          <w:tcPr>
            <w:tcW w:type="dxa" w:w="3960"/>
            <w:vAlign w:val="center"/>
          </w:tcPr>
          <w:p>
            <w:pPr>
              <w:spacing w:after="0"/>
            </w:pPr>
            <w:r>
              <w:rPr>
                <w:rFonts w:ascii="Arial" w:hAnsi="Arial"/>
                <w:b w:val="0"/>
                <w:i w:val="0"/>
                <w:color w:val="1F1F1F"/>
                <w:sz w:val="15"/>
              </w:rPr>
              <w:t>https://www.ftc.gov/legal-library/browse/statutes/fair-credit-reporting-act</w:t>
            </w:r>
          </w:p>
        </w:tc>
      </w:tr>
      <w:tr>
        <w:trPr>
          <w:cantSplit w:val="true"/>
        </w:trPr>
        <w:tc>
          <w:tcPr>
            <w:tcW w:type="dxa" w:w="2592"/>
            <w:vAlign w:val="center"/>
            <w:shd w:fill="F6F6F6"/>
          </w:tcPr>
          <w:p>
            <w:pPr>
              <w:spacing w:after="0"/>
            </w:pPr>
            <w:r>
              <w:rPr>
                <w:rFonts w:ascii="Arial" w:hAnsi="Arial"/>
                <w:b w:val="0"/>
                <w:i w:val="0"/>
                <w:color w:val="1F1F1F"/>
                <w:sz w:val="15"/>
              </w:rPr>
              <w:t>U.S. Department of Labor, Wage and Hour Division</w:t>
            </w:r>
          </w:p>
        </w:tc>
        <w:tc>
          <w:tcPr>
            <w:tcW w:type="dxa" w:w="3816"/>
            <w:vAlign w:val="center"/>
            <w:shd w:fill="F6F6F6"/>
          </w:tcPr>
          <w:p>
            <w:pPr>
              <w:spacing w:after="0"/>
            </w:pPr>
            <w:r>
              <w:rPr>
                <w:rFonts w:ascii="Arial" w:hAnsi="Arial"/>
                <w:b w:val="0"/>
                <w:i w:val="0"/>
                <w:color w:val="1F1F1F"/>
                <w:sz w:val="15"/>
              </w:rPr>
              <w:t>Restaurant and fast-food establishment fact sheets, including youth-employment limits</w:t>
            </w:r>
          </w:p>
        </w:tc>
        <w:tc>
          <w:tcPr>
            <w:tcW w:type="dxa" w:w="3960"/>
            <w:vAlign w:val="center"/>
            <w:shd w:fill="F6F6F6"/>
          </w:tcPr>
          <w:p>
            <w:pPr>
              <w:spacing w:after="0"/>
            </w:pPr>
            <w:r>
              <w:rPr>
                <w:rFonts w:ascii="Arial" w:hAnsi="Arial"/>
                <w:b w:val="0"/>
                <w:i w:val="0"/>
                <w:color w:val="1F1F1F"/>
                <w:sz w:val="15"/>
              </w:rPr>
              <w:t>https://www.dol.gov/agencies/whd/fact-sheets/2-flsa-restaurants</w:t>
            </w:r>
          </w:p>
        </w:tc>
      </w:tr>
    </w:tbl>
    <w:p>
      <w:pPr>
        <w:pStyle w:val="ListBullet"/>
        <w:spacing w:after="80"/>
      </w:pPr>
      <w:r>
        <w:rPr>
          <w:rFonts w:ascii="Arial" w:hAnsi="Arial"/>
          <w:b w:val="0"/>
          <w:i w:val="0"/>
          <w:color w:val="1F1F1F"/>
          <w:sz w:val="19"/>
        </w:rPr>
        <w:t>Use job-related, consistently applied criteria and preserve an accommodation route.</w:t>
      </w:r>
    </w:p>
    <w:p>
      <w:pPr>
        <w:pStyle w:val="ListBullet"/>
        <w:spacing w:after="80"/>
      </w:pPr>
      <w:r>
        <w:rPr>
          <w:rFonts w:ascii="Arial" w:hAnsi="Arial"/>
          <w:b w:val="0"/>
          <w:i w:val="0"/>
          <w:color w:val="1F1F1F"/>
          <w:sz w:val="19"/>
        </w:rPr>
        <w:t>Complete employment-eligibility verification only through the current authorized process and timing.</w:t>
      </w:r>
    </w:p>
    <w:p>
      <w:pPr>
        <w:pStyle w:val="ListBullet"/>
        <w:spacing w:after="80"/>
      </w:pPr>
      <w:r>
        <w:rPr>
          <w:rFonts w:ascii="Arial" w:hAnsi="Arial"/>
          <w:b w:val="0"/>
          <w:i w:val="0"/>
          <w:color w:val="1F1F1F"/>
          <w:sz w:val="19"/>
        </w:rPr>
        <w:t>For third-party consumer reports, obtain required authorization and follow pre-adverse and adverse-action procedures; route decisions through qualified review.</w:t>
      </w:r>
    </w:p>
    <w:p>
      <w:pPr>
        <w:pStyle w:val="ListBullet"/>
        <w:spacing w:after="80"/>
      </w:pPr>
      <w:r>
        <w:rPr>
          <w:rFonts w:ascii="Arial" w:hAnsi="Arial"/>
          <w:b w:val="0"/>
          <w:i w:val="0"/>
          <w:color w:val="1F1F1F"/>
          <w:sz w:val="19"/>
        </w:rPr>
        <w:t>Confirm age-based hours and hazardous-duty restrictions before assigning youth work.</w:t>
      </w:r>
    </w:p>
    <w:p>
      <w:pPr>
        <w:pStyle w:val="ListBullet"/>
        <w:spacing w:after="80"/>
      </w:pPr>
      <w:r>
        <w:rPr>
          <w:rFonts w:ascii="Arial" w:hAnsi="Arial"/>
          <w:b w:val="0"/>
          <w:i w:val="0"/>
          <w:color w:val="1F1F1F"/>
          <w:sz w:val="19"/>
        </w:rPr>
        <w:t>Never treat an arrest, rumor, protected characteristic, complaint, accommodation request, or other legally sensitive fact as automatic proof of job failure.</w:t>
      </w:r>
    </w:p>
    <w:p>
      <w:r>
        <w:br w:type="page"/>
      </w:r>
    </w:p>
    <w:p>
      <w:pPr>
        <w:pStyle w:val="Heading1"/>
      </w:pPr>
      <w:r>
        <w:t>Plain-Language Glossary</w:t>
      </w:r>
    </w:p>
    <w:p>
      <w:pPr>
        <w:spacing w:after="100" w:line="257" w:lineRule="auto"/>
      </w:pPr>
      <w:r>
        <w:rPr>
          <w:rFonts w:ascii="Arial" w:hAnsi="Arial"/>
          <w:b/>
          <w:i w:val="0"/>
          <w:color w:val="1F1F1F"/>
          <w:sz w:val="19"/>
        </w:rPr>
        <w:t>Care.</w:t>
      </w:r>
      <w:r>
        <w:rPr>
          <w:rFonts w:ascii="Arial" w:hAnsi="Arial"/>
          <w:b w:val="0"/>
          <w:i w:val="0"/>
          <w:color w:val="1F1F1F"/>
          <w:sz w:val="19"/>
        </w:rPr>
        <w:t xml:space="preserve"> Observable responsibility toward guests, coworkers, cleanliness, safety, honesty, learning, and team impact.</w:t>
      </w:r>
    </w:p>
    <w:p>
      <w:pPr>
        <w:spacing w:after="100" w:line="257" w:lineRule="auto"/>
      </w:pPr>
      <w:r>
        <w:rPr>
          <w:rFonts w:ascii="Arial" w:hAnsi="Arial"/>
          <w:b/>
          <w:i w:val="0"/>
          <w:color w:val="1F1F1F"/>
          <w:sz w:val="19"/>
        </w:rPr>
        <w:t>Candidate evidence.</w:t>
      </w:r>
      <w:r>
        <w:rPr>
          <w:rFonts w:ascii="Arial" w:hAnsi="Arial"/>
          <w:b w:val="0"/>
          <w:i w:val="0"/>
          <w:color w:val="1F1F1F"/>
          <w:sz w:val="19"/>
        </w:rPr>
        <w:t xml:space="preserve"> Job-related facts from answers, records, approved work samples, or verification steps.</w:t>
      </w:r>
    </w:p>
    <w:p>
      <w:pPr>
        <w:spacing w:after="100" w:line="257" w:lineRule="auto"/>
      </w:pPr>
      <w:r>
        <w:rPr>
          <w:rFonts w:ascii="Arial" w:hAnsi="Arial"/>
          <w:b/>
          <w:i w:val="0"/>
          <w:color w:val="1F1F1F"/>
          <w:sz w:val="19"/>
        </w:rPr>
        <w:t>Coachability.</w:t>
      </w:r>
      <w:r>
        <w:rPr>
          <w:rFonts w:ascii="Arial" w:hAnsi="Arial"/>
          <w:b w:val="0"/>
          <w:i w:val="0"/>
          <w:color w:val="1F1F1F"/>
          <w:sz w:val="19"/>
        </w:rPr>
        <w:t xml:space="preserve"> A demonstrated ability to receive feedback, ask useful questions, practice, correct, and verify improvement.</w:t>
      </w:r>
    </w:p>
    <w:p>
      <w:pPr>
        <w:spacing w:after="100" w:line="257" w:lineRule="auto"/>
      </w:pPr>
      <w:r>
        <w:rPr>
          <w:rFonts w:ascii="Arial" w:hAnsi="Arial"/>
          <w:b/>
          <w:i w:val="0"/>
          <w:color w:val="1F1F1F"/>
          <w:sz w:val="19"/>
        </w:rPr>
        <w:t>Comparable question.</w:t>
      </w:r>
      <w:r>
        <w:rPr>
          <w:rFonts w:ascii="Arial" w:hAnsi="Arial"/>
          <w:b w:val="0"/>
          <w:i w:val="0"/>
          <w:color w:val="1F1F1F"/>
          <w:sz w:val="19"/>
        </w:rPr>
        <w:t xml:space="preserve"> A core question asked consistently of candidates for the same role.</w:t>
      </w:r>
    </w:p>
    <w:p>
      <w:pPr>
        <w:spacing w:after="100" w:line="257" w:lineRule="auto"/>
      </w:pPr>
      <w:r>
        <w:rPr>
          <w:rFonts w:ascii="Arial" w:hAnsi="Arial"/>
          <w:b/>
          <w:i w:val="0"/>
          <w:color w:val="1F1F1F"/>
          <w:sz w:val="19"/>
        </w:rPr>
        <w:t>Essential function.</w:t>
      </w:r>
      <w:r>
        <w:rPr>
          <w:rFonts w:ascii="Arial" w:hAnsi="Arial"/>
          <w:b w:val="0"/>
          <w:i w:val="0"/>
          <w:color w:val="1F1F1F"/>
          <w:sz w:val="19"/>
        </w:rPr>
        <w:t xml:space="preserve"> A fundamental duty of a position; confirm the authorized job description and accommodation process.</w:t>
      </w:r>
    </w:p>
    <w:p>
      <w:pPr>
        <w:spacing w:after="100" w:line="257" w:lineRule="auto"/>
      </w:pPr>
      <w:r>
        <w:rPr>
          <w:rFonts w:ascii="Arial" w:hAnsi="Arial"/>
          <w:b/>
          <w:i w:val="0"/>
          <w:color w:val="1F1F1F"/>
          <w:sz w:val="19"/>
        </w:rPr>
        <w:t>First 90 days.</w:t>
      </w:r>
      <w:r>
        <w:rPr>
          <w:rFonts w:ascii="Arial" w:hAnsi="Arial"/>
          <w:b w:val="0"/>
          <w:i w:val="0"/>
          <w:color w:val="1F1F1F"/>
          <w:sz w:val="19"/>
        </w:rPr>
        <w:t xml:space="preserve"> The early employment period in which selection, training, support, fit, and preventable risks should be reviewed deliberately.</w:t>
      </w:r>
    </w:p>
    <w:p>
      <w:pPr>
        <w:spacing w:after="100" w:line="257" w:lineRule="auto"/>
      </w:pPr>
      <w:r>
        <w:rPr>
          <w:rFonts w:ascii="Arial" w:hAnsi="Arial"/>
          <w:b/>
          <w:i w:val="0"/>
          <w:color w:val="1F1F1F"/>
          <w:sz w:val="19"/>
        </w:rPr>
        <w:t>Job related.</w:t>
      </w:r>
      <w:r>
        <w:rPr>
          <w:rFonts w:ascii="Arial" w:hAnsi="Arial"/>
          <w:b w:val="0"/>
          <w:i w:val="0"/>
          <w:color w:val="1F1F1F"/>
          <w:sz w:val="19"/>
        </w:rPr>
        <w:t xml:space="preserve"> Connected to duties, conditions, schedule, safety, conduct, or success evidence that the role genuinely requires.</w:t>
      </w:r>
    </w:p>
    <w:p>
      <w:pPr>
        <w:spacing w:after="100" w:line="257" w:lineRule="auto"/>
      </w:pPr>
      <w:r>
        <w:rPr>
          <w:rFonts w:ascii="Arial" w:hAnsi="Arial"/>
          <w:b/>
          <w:i w:val="0"/>
          <w:color w:val="1F1F1F"/>
          <w:sz w:val="19"/>
        </w:rPr>
        <w:t>Realistic job preview.</w:t>
      </w:r>
      <w:r>
        <w:rPr>
          <w:rFonts w:ascii="Arial" w:hAnsi="Arial"/>
          <w:b w:val="0"/>
          <w:i w:val="0"/>
          <w:color w:val="1F1F1F"/>
          <w:sz w:val="19"/>
        </w:rPr>
        <w:t xml:space="preserve"> A truthful description of the work, pace, schedule, conditions, standards, support, and tradeoffs.</w:t>
      </w:r>
    </w:p>
    <w:p>
      <w:pPr>
        <w:spacing w:after="100" w:line="257" w:lineRule="auto"/>
      </w:pPr>
      <w:r>
        <w:rPr>
          <w:rFonts w:ascii="Arial" w:hAnsi="Arial"/>
          <w:b/>
          <w:i w:val="0"/>
          <w:color w:val="1F1F1F"/>
          <w:sz w:val="19"/>
        </w:rPr>
        <w:t>Regrettable turnover.</w:t>
      </w:r>
      <w:r>
        <w:rPr>
          <w:rFonts w:ascii="Arial" w:hAnsi="Arial"/>
          <w:b w:val="0"/>
          <w:i w:val="0"/>
          <w:color w:val="1F1F1F"/>
          <w:sz w:val="19"/>
        </w:rPr>
        <w:t xml:space="preserve"> Loss of an employee the restaurant reasonably wanted and was able to retain.</w:t>
      </w:r>
    </w:p>
    <w:p>
      <w:pPr>
        <w:spacing w:after="100" w:line="257" w:lineRule="auto"/>
      </w:pPr>
      <w:r>
        <w:rPr>
          <w:rFonts w:ascii="Arial" w:hAnsi="Arial"/>
          <w:b/>
          <w:i w:val="0"/>
          <w:color w:val="1F1F1F"/>
          <w:sz w:val="19"/>
        </w:rPr>
        <w:t>Stay conversation.</w:t>
      </w:r>
      <w:r>
        <w:rPr>
          <w:rFonts w:ascii="Arial" w:hAnsi="Arial"/>
          <w:b w:val="0"/>
          <w:i w:val="0"/>
          <w:color w:val="1F1F1F"/>
          <w:sz w:val="19"/>
        </w:rPr>
        <w:t xml:space="preserve"> A structured conversation about what helps an employee stay, what creates pressure, and what the restaurant can responsibly change.</w:t>
      </w:r>
    </w:p>
    <w:p>
      <w:pPr>
        <w:spacing w:after="100" w:line="257" w:lineRule="auto"/>
      </w:pPr>
      <w:r>
        <w:rPr>
          <w:rFonts w:ascii="Arial" w:hAnsi="Arial"/>
          <w:b/>
          <w:i w:val="0"/>
          <w:color w:val="1F1F1F"/>
          <w:sz w:val="19"/>
        </w:rPr>
        <w:t>Structured interview.</w:t>
      </w:r>
      <w:r>
        <w:rPr>
          <w:rFonts w:ascii="Arial" w:hAnsi="Arial"/>
          <w:b w:val="0"/>
          <w:i w:val="0"/>
          <w:color w:val="1F1F1F"/>
          <w:sz w:val="19"/>
        </w:rPr>
        <w:t xml:space="preserve"> An interview using prepared job-related questions, consistent scoring anchors, notes, and accountable review.</w:t>
      </w:r>
    </w:p>
    <w:p>
      <w:pPr>
        <w:spacing w:after="100" w:line="257" w:lineRule="auto"/>
      </w:pPr>
      <w:r>
        <w:rPr>
          <w:rFonts w:ascii="Arial" w:hAnsi="Arial"/>
          <w:b/>
          <w:i w:val="0"/>
          <w:color w:val="1F1F1F"/>
          <w:sz w:val="19"/>
        </w:rPr>
        <w:t>Turnover rate.</w:t>
      </w:r>
      <w:r>
        <w:rPr>
          <w:rFonts w:ascii="Arial" w:hAnsi="Arial"/>
          <w:b w:val="0"/>
          <w:i w:val="0"/>
          <w:color w:val="1F1F1F"/>
          <w:sz w:val="19"/>
        </w:rPr>
        <w:t xml:space="preserve"> Separations during a defined period divided by an approved average-headcount measure; document the formula and period used.</w:t>
      </w:r>
    </w:p>
    <w:p>
      <w:pPr>
        <w:spacing w:after="100" w:line="257" w:lineRule="auto"/>
      </w:pPr>
      <w:r>
        <w:rPr>
          <w:rFonts w:ascii="Arial" w:hAnsi="Arial"/>
          <w:b/>
          <w:i w:val="0"/>
          <w:color w:val="1F1F1F"/>
          <w:sz w:val="19"/>
        </w:rPr>
        <w:t>Work sample.</w:t>
      </w:r>
      <w:r>
        <w:rPr>
          <w:rFonts w:ascii="Arial" w:hAnsi="Arial"/>
          <w:b w:val="0"/>
          <w:i w:val="0"/>
          <w:color w:val="1F1F1F"/>
          <w:sz w:val="19"/>
        </w:rPr>
        <w:t xml:space="preserve"> An authorized, accessible, job-related task used consistently and lawfully to gather evidence; confirm pay and policy requirements before use.</w:t>
      </w:r>
    </w:p>
    <w:p>
      <w:r>
        <w:br w:type="page"/>
      </w:r>
    </w:p>
    <w:p>
      <w:r>
        <w:t>Workforce bench. A current view of internal employees who may be developed for greater responsibility, based on observable readiness and approved development needs rather than favoritism.</w:t>
      </w:r>
    </w:p>
    <w:p>
      <w:r>
        <w:t>Preboarding. The work completed after acceptance and before the first shift to prepare the employee, manager, trainer, schedule, paperwork, and first-day contact.</w:t>
      </w:r>
    </w:p>
    <w:p>
      <w:r>
        <w:t>Selection criterion. A pre-established, job-related standard used consistently to compare applicants for the same role.</w:t>
      </w:r>
    </w:p>
    <w:p>
      <w:r>
        <w:t>Retaliation. Harmful treatment because someone raised a concern, requested a protected process, reported conduct, or participated in a review. Route any possible retaliation concern immediately.</w:t>
      </w:r>
    </w:p>
    <w:p>
      <w:r>
        <w:t>Retention risk. A visible condition that could lead a capable employee to disengage or leave, such as unclear expectations, inconsistent treatment, inadequate support, or avoidable schedule pressure.</w:t>
      </w:r>
    </w:p>
    <w:p>
      <w:r>
        <w:t>Protected characteristic. A personal characteristic protected by applicable law. It is not a selection criterion and must not be used to make employment decisions.</w:t>
      </w:r>
    </w:p>
    <w:p>
      <w:r>
        <w:t>Corrective action. A formal response to a documented issue after required review. It is different from ordinary coaching and should follow company policy and authorized review.</w:t>
      </w:r>
    </w:p>
    <w:p>
      <w:r>
        <w:t>Background report. Information supplied by an outside reporting company about an applicant or employee. Its use can trigger federal, state, and local requirements; use only the authorized process.</w:t>
      </w:r>
    </w:p>
    <w:p>
      <w:r>
        <w:t>Applicant communication standard. The approved way the restaurant acknowledges, updates, schedules, declines, or closes applicant communication consistently and respectfully.</w:t>
      </w:r>
    </w:p>
    <w:p>
      <w:r>
        <w:t>Accommodation. A change or adjustment considered through the employer’s authorized process so a qualified applicant or employee can apply for or perform a job. Managers route requests; they do not decide them alone.</w:t>
      </w:r>
    </w:p>
    <w:p>
      <w:pPr>
        <w:pStyle w:val="Heading1"/>
      </w:pPr>
      <w:r>
        <w:t>Final Manager Commitment</w:t>
      </w:r>
    </w:p>
    <w:p>
      <w:pPr>
        <w:spacing w:after="140" w:line="257" w:lineRule="auto"/>
      </w:pPr>
      <w:r>
        <w:rPr>
          <w:rFonts w:ascii="Arial" w:hAnsi="Arial"/>
          <w:b w:val="0"/>
          <w:i w:val="0"/>
          <w:color w:val="1F1F1F"/>
          <w:sz w:val="20"/>
        </w:rPr>
        <w:t>A fair hiring process is not slow by definition. It is prepared. A useful retention process is not sentimental. It is honest about working conditions, standards, support, and behavior. The manager’s obligation is to make the next decision more visible than the last one.</w:t>
      </w:r>
    </w:p>
    <w:p>
      <w:pPr>
        <w:spacing w:before="60" w:after="60"/>
      </w:pPr>
      <w:r>
        <w:rPr>
          <w:rFonts w:ascii="Arial" w:hAnsi="Arial"/>
          <w:b/>
          <w:i w:val="0"/>
          <w:color w:val="5A5A5A"/>
          <w:sz w:val="18"/>
        </w:rPr>
        <w:t>THE SHORTCUT I WILL STOP</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THE STANDARD I WILL WRITE BEFORE THE NEXT INTERVIEW</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THE QUESTION I WILL ASK EVERY COMPARABLE CANDIDATE</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THE FIRST-90-DAY CHECK-IN I WILL PROTECT</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before="60" w:after="60"/>
      </w:pPr>
      <w:r>
        <w:rPr>
          <w:rFonts w:ascii="Arial" w:hAnsi="Arial"/>
          <w:b/>
          <w:i w:val="0"/>
          <w:color w:val="5A5A5A"/>
          <w:sz w:val="18"/>
        </w:rPr>
        <w:t>THE RETENTION PATTERN OUR LEADERSHIP TEAM WILL REVIEW WEEKLY</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p>
      <w:pPr>
        <w:spacing w:after="60"/>
      </w:pPr>
      <w:r>
        <w:rPr>
          <w:rFonts w:ascii="Arial" w:hAnsi="Arial"/>
          <w:b w:val="0"/>
          <w:i w:val="0"/>
          <w:color w:val="9A9A9A"/>
          <w:sz w:val="16"/>
        </w:rPr>
        <w:t>________________________________________________________________________________</w:t>
      </w:r>
    </w:p>
    <w:tbl>
      <w:tblPr>
        <w:tblW w:type="auto" w:w="0"/>
        <w:jc w:val="center"/>
        <w:tblLook w:firstColumn="1" w:firstRow="1" w:lastColumn="0" w:lastRow="0" w:noHBand="0" w:noVBand="1" w:val="04A0"/>
        <w:tblBorders>
          <w:top w:val="single" w:sz="5" w:color="777777"/>
          <w:left w:val="single" w:sz="5" w:color="777777"/>
          <w:bottom w:val="single" w:sz="5" w:color="777777"/>
          <w:right w:val="single" w:sz="5" w:color="777777"/>
          <w:insideH w:val="single" w:sz="5" w:color="777777"/>
          <w:insideV w:val="single" w:sz="5" w:color="777777"/>
        </w:tblBorders>
      </w:tblPr>
      <w:tblGrid>
        <w:gridCol w:w="10080"/>
      </w:tblGrid>
      <w:tr>
        <w:tc>
          <w:tcPr>
            <w:tcW w:type="dxa" w:w="10080"/>
            <w:shd w:fill="E9E9E9"/>
          </w:tcPr>
          <w:p>
            <w:r>
              <w:rPr>
                <w:rFonts w:ascii="Arial" w:hAnsi="Arial"/>
                <w:b/>
                <w:i w:val="0"/>
                <w:color w:val="1F1F1F"/>
                <w:sz w:val="19"/>
              </w:rPr>
              <w:t xml:space="preserve">Signature principle  </w:t>
            </w:r>
            <w:r>
              <w:rPr>
                <w:rFonts w:ascii="Arial" w:hAnsi="Arial"/>
                <w:b w:val="0"/>
                <w:i w:val="0"/>
                <w:color w:val="1F1F1F"/>
                <w:sz w:val="19"/>
              </w:rPr>
              <w:t>Hire care first. Train skill second. Prove both through job-related evidence, capable training, fair follow-through, and accountable human judgment.</w:t>
            </w:r>
          </w:p>
        </w:tc>
      </w:tr>
    </w:tbl>
    <w:p>
      <w:pPr>
        <w:spacing w:after="140" w:line="257" w:lineRule="auto"/>
      </w:pPr>
      <w:r>
        <w:rPr>
          <w:rFonts w:ascii="Arial" w:hAnsi="Arial"/>
          <w:b w:val="0"/>
          <w:i w:val="0"/>
          <w:color w:val="1F1F1F"/>
          <w:sz w:val="19"/>
        </w:rPr>
        <w:t>Manager: ____________________   Restaurant: ____________________   Date: __________</w:t>
      </w:r>
    </w:p>
    <w:sectPr w:rsidR="00FC693F" w:rsidRPr="0006063C" w:rsidSect="00034616">
      <w:headerReference w:type="default" r:id="rId9"/>
      <w:footerReference w:type="default" r:id="rId10"/>
      <w:pgNumType w:start="1"/>
      <w:pgSz w:w="12240" w:h="15840"/>
      <w:pgMar w:top="979" w:right="979" w:bottom="893" w:left="1181" w:header="403" w:footer="403" w:gutter="17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3264"/>
      <w:gridCol w:w="3264"/>
      <w:gridCol w:w="3264"/>
    </w:tblGrid>
    <w:tr>
      <w:tc>
        <w:tcPr>
          <w:tcW w:type="dxa" w:w="3264"/>
        </w:tcPr>
        <w:p>
          <w:pPr>
            <w:jc w:val="left"/>
          </w:pPr>
          <w:r>
            <w:rPr>
              <w:rFonts w:ascii="Arial" w:hAnsi="Arial"/>
              <w:b/>
              <w:i w:val="0"/>
              <w:color w:val="5A5A5A"/>
              <w:sz w:val="15"/>
            </w:rPr>
            <w:t>THE GRAVITY SYSTEM</w:t>
          </w:r>
        </w:p>
      </w:tc>
      <w:tc>
        <w:tcPr>
          <w:tcW w:type="dxa" w:w="3264"/>
        </w:tcPr>
        <w:p>
          <w:pPr>
            <w:jc w:val="center"/>
          </w:pPr>
          <w:r>
            <w:rPr>
              <w:rFonts w:ascii="Arial" w:hAnsi="Arial"/>
              <w:b w:val="0"/>
              <w:i w:val="0"/>
              <w:color w:val="5A5A5A"/>
              <w:sz w:val="17"/>
            </w:rPr>
            <w:fldChar w:fldCharType="begin"/>
            <w:instrText xml:space="preserve"> PAGE </w:instrText>
            <w:fldChar w:fldCharType="separate"/>
            <w:t>1</w:t>
            <w:fldChar w:fldCharType="end"/>
          </w:r>
        </w:p>
      </w:tc>
      <w:tc>
        <w:tcPr>
          <w:tcW w:type="dxa" w:w="3264"/>
        </w:tcPr>
        <w:p>
          <w:pPr>
            <w:jc w:val="right"/>
          </w:pPr>
          <w:r>
            <w:rPr>
              <w:rFonts w:ascii="Arial" w:hAnsi="Arial"/>
              <w:b/>
              <w:i w:val="0"/>
              <w:color w:val="5A5A5A"/>
              <w:sz w:val="15"/>
            </w:rPr>
            <w:t>THOMAS MONROE BOOKS</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i w:val="0"/>
        <w:color w:val="5A5A5A"/>
        <w:sz w:val="16"/>
      </w:rPr>
      <w:t>THE RESTAURANT MANAGER’S TOOLKIT  •  HIRING &amp; RETENTION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40"/>
    </w:pPr>
    <w:rPr>
      <w:rFonts w:ascii="Arial" w:hAnsi="Arial"/>
      <w:b w:val="0"/>
      <w:color w:val="1F1F1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40"/>
      <w:outlineLvl w:val="0"/>
    </w:pPr>
    <w:rPr>
      <w:rFonts w:asciiTheme="majorHAnsi" w:eastAsiaTheme="majorEastAsia" w:hAnsiTheme="majorHAnsi" w:cstheme="majorBidi" w:ascii="Arial" w:hAnsi="Arial"/>
      <w:b/>
      <w:bCs/>
      <w:color w:val="1F1F1F"/>
      <w:sz w:val="38"/>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rial" w:hAnsi="Arial"/>
      <w:b/>
      <w:bCs/>
      <w:color w:val="1F1F1F"/>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1F1F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b/>
      <w:color w:val="1F1F1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rial" w:hAnsi="Arial"/>
      <w:b w:val="0"/>
      <w:i/>
      <w:iCs/>
      <w:color w:val="1F1F1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Hiring, Interviewing &amp; Employee Retention Tracker</dc:title>
  <dc:subject>A Practical Restaurant Manager’s Workbook for Hiring People Who Care and Keeping the Right Employees</dc:subject>
  <dc:creator>Thomas Butler</dc:creator>
  <cp:keywords>restaurant hiring, structured interview, employee retention, first 90 days, manager workbook, Gravity System</cp:keywords>
  <dc:description>generated by python-docx</dc:description>
  <cp:lastModifiedBy/>
  <cp:revision>1</cp:revision>
  <dcterms:created xsi:type="dcterms:W3CDTF">2013-12-23T23:15:00Z</dcterms:created>
  <dcterms:modified xsi:type="dcterms:W3CDTF">2013-12-23T23:15:00Z</dcterms:modified>
  <cp:category/>
</cp:coreProperties>
</file>