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8A24A"/>
          <w:sz w:val="20"/>
        </w:rPr>
        <w:t>THE GRAVITY RESTAURANT LEADERSHIP SYSTEM</w:t>
      </w:r>
    </w:p>
    <w:p>
      <w:pPr>
        <w:jc w:val="center"/>
      </w:pPr>
      <w:r>
        <w:rPr>
          <w:rFonts w:ascii="Georgia" w:hAnsi="Georgia"/>
          <w:b/>
          <w:color w:val="0D1B2A"/>
          <w:sz w:val="48"/>
        </w:rPr>
        <w:t>The Gravity Facilities &amp; Maintenance System</w:t>
      </w:r>
    </w:p>
    <w:p>
      <w:pPr>
        <w:jc w:val="center"/>
      </w:pPr>
      <w:r>
        <w:rPr>
          <w:i/>
          <w:sz w:val="22"/>
        </w:rPr>
        <w:t>A complete operating system for equipment readiness, facility care, repair control, preventive maintenance, service vendors, downtime, capital planning, and management verification.</w:t>
      </w:r>
    </w:p>
    <w:p>
      <w:pPr>
        <w:jc w:val="center"/>
      </w:pPr>
      <w:r>
        <w:rPr>
          <w:b/>
          <w:color w:val="8A1F1D"/>
          <w:sz w:val="28"/>
        </w:rPr>
        <w:t>OPERATING MANUAL</w:t>
      </w:r>
    </w:p>
    <w:p>
      <w:pPr>
        <w:jc w:val="center"/>
      </w:pPr>
      <w:r>
        <w:t>GRV-FM01-GRV-FM30 | Release 1.1 | Founding Year Free Access</w:t>
      </w:r>
    </w:p>
    <w:p>
      <w:pPr>
        <w:jc w:val="center"/>
      </w:pPr>
      <w:r>
        <w:rPr>
          <w:sz w:val="20"/>
        </w:rPr>
        <w:t>Published by Thomas Monroe Books</w:t>
        <w:br/>
        <w:t>Author: Thomas Butler</w:t>
      </w:r>
    </w:p>
    <w:p>
      <w:r>
        <w:br w:type="page"/>
      </w:r>
    </w:p>
    <w:p>
      <w:pPr>
        <w:pStyle w:val="Heading1"/>
      </w:pPr>
      <w:r>
        <w:t>1. Central Purpose</w:t>
      </w:r>
    </w:p>
    <w:p>
      <w:r>
        <w:rPr>
          <w:b/>
          <w:color w:val="8A1F1D"/>
        </w:rPr>
        <w:t xml:space="preserve">Purpose: </w:t>
      </w:r>
      <w:r>
        <w:t>Controls the physical restaurant so equipment, utilities, dining areas, back-of-house spaces, service vendors, repairs, inspections, and capital decisions do not live only in memory, emergencies, or informal text messages.</w:t>
      </w:r>
    </w:p>
    <w:p>
      <w:r>
        <w:rPr>
          <w:b/>
          <w:color w:val="8A1F1D"/>
        </w:rPr>
        <w:t xml:space="preserve">Truth: </w:t>
      </w:r>
      <w:r>
        <w:t>What condition are the building, equipment, utilities, and service environments actually in today?</w:t>
      </w:r>
    </w:p>
    <w:p>
      <w:r>
        <w:rPr>
          <w:b/>
          <w:color w:val="8A1F1D"/>
        </w:rPr>
        <w:t xml:space="preserve">Cost: </w:t>
      </w:r>
      <w:r>
        <w:t>What does neglect cost in downtime, food loss, guest damage, emergency repair, staff frustration, safety exposure, and lost confidence?</w:t>
      </w:r>
    </w:p>
    <w:p>
      <w:r>
        <w:rPr>
          <w:b/>
          <w:color w:val="8A1F1D"/>
        </w:rPr>
        <w:t xml:space="preserve">System: </w:t>
      </w:r>
      <w:r>
        <w:t>Create visible inspection rhythms, preventive maintenance, repair authority, vendor control, downtime records, capital planning, and renewal decisions.</w:t>
      </w:r>
    </w:p>
    <w:p>
      <w:r>
        <w:t>Elite operating standard: every repeated problem must move from opinion to evidence, from evidence to decision, and from decision to verified practice.</w:t>
      </w:r>
    </w:p>
    <w:p>
      <w:r>
        <w:br w:type="page"/>
      </w:r>
    </w:p>
    <w:p>
      <w:pPr>
        <w:pStyle w:val="Heading1"/>
      </w:pPr>
      <w:r>
        <w:t>2. What This System Controls</w:t>
      </w:r>
    </w:p>
    <w:p>
      <w:pPr>
        <w:pStyle w:val="ListBullet"/>
      </w:pPr>
      <w:r>
        <w:t>Owner and review cadence</w:t>
      </w:r>
    </w:p>
    <w:p>
      <w:pPr>
        <w:pStyle w:val="ListBullet"/>
      </w:pPr>
      <w:r>
        <w:t>Operating records and source evidence</w:t>
      </w:r>
    </w:p>
    <w:p>
      <w:pPr>
        <w:pStyle w:val="ListBullet"/>
      </w:pPr>
      <w:r>
        <w:t>Approval thresholds and decision authority</w:t>
      </w:r>
    </w:p>
    <w:p>
      <w:pPr>
        <w:pStyle w:val="ListBullet"/>
      </w:pPr>
      <w:r>
        <w:t>Routine checks and exception handling</w:t>
      </w:r>
    </w:p>
    <w:p>
      <w:pPr>
        <w:pStyle w:val="ListBullet"/>
      </w:pPr>
      <w:r>
        <w:t>Corrective action and renewal rhythm</w:t>
      </w:r>
    </w:p>
    <w:p>
      <w:pPr>
        <w:pStyle w:val="ListBullet"/>
      </w:pPr>
      <w:r>
        <w:t>Handoffs to adjacent Gravity systems</w:t>
      </w:r>
    </w:p>
    <w:p>
      <w:pPr>
        <w:pStyle w:val="ListBullet"/>
      </w:pPr>
      <w:r>
        <w:t>Approved local customization without uncontrolled duplicate versions</w:t>
      </w:r>
    </w:p>
    <w:p>
      <w:pPr>
        <w:pStyle w:val="ListBullet"/>
      </w:pPr>
      <w:r>
        <w:t>Management review that turns facts into visible action</w:t>
      </w:r>
    </w:p>
    <w:p>
      <w:r>
        <w:br w:type="page"/>
      </w:r>
    </w:p>
    <w:p>
      <w:pPr>
        <w:pStyle w:val="Heading1"/>
      </w:pPr>
      <w:r>
        <w:t>3. Architecture and Boundaries</w:t>
      </w:r>
    </w:p>
    <w:p>
      <w:r>
        <w:t>GRV-FM uses 30 stable tool IDs across six operating areas. The system controls its own records and does not replace another system's source authority.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2160"/>
            <w:shd w:fill="0D1B2A"/>
          </w:tcPr>
          <w:p>
            <w:r/>
            <w:r>
              <w:rPr>
                <w:b/>
                <w:color w:val="FFFFFF"/>
                <w:sz w:val="16"/>
              </w:rPr>
              <w:t>Tool range</w:t>
            </w:r>
          </w:p>
        </w:tc>
        <w:tc>
          <w:tcPr>
            <w:tcW w:type="dxa" w:w="7920"/>
            <w:shd w:fill="0D1B2A"/>
          </w:tcPr>
          <w:p>
            <w:r/>
            <w:r>
              <w:rPr>
                <w:b/>
                <w:color w:val="FFFFFF"/>
                <w:sz w:val="16"/>
              </w:rPr>
              <w:t>Operating area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GRV-FM01-GRV-FM05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Facility Governance &amp; Asset Control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GRV-FM06-GRV-FM10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Daily Readiness &amp; Physical Condition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GRV-FM11-GRV-FM15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Preventive Maintenance &amp; Service Rhythm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GRV-FM16-GRV-FM20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Repair, Downtime &amp; Vendor Control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GRV-FM21-GRV-FM25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Capital Planning &amp; Renewal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GRV-FM26-GRV-FM30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Verification, Scorecards &amp; Corrective Action</w:t>
            </w:r>
          </w:p>
        </w:tc>
      </w:tr>
    </w:tbl>
    <w:p>
      <w:pPr>
        <w:pStyle w:val="Heading2"/>
      </w:pPr>
      <w:r>
        <w:t>Boundary Rules</w:t>
      </w:r>
    </w:p>
    <w:p>
      <w:r>
        <w:rPr>
          <w:b/>
        </w:rPr>
        <w:t xml:space="preserve">Food Safety &amp; Sanitation: </w:t>
      </w:r>
      <w:r>
        <w:t>GRV-FS owns food-safety verification, sanitation controls, and inspection findings. GRV-FM owns equipment/facility condition and the repair path that supports safe operation.</w:t>
      </w:r>
    </w:p>
    <w:p>
      <w:r>
        <w:rPr>
          <w:b/>
        </w:rPr>
        <w:t xml:space="preserve">Risk &amp; Continuity: </w:t>
      </w:r>
      <w:r>
        <w:t>GRV-RC owns emergency response and continuity. GRV-FM owns preventive care, routine repair, service vendors, and physical-condition readiness.</w:t>
      </w:r>
    </w:p>
    <w:p>
      <w:r>
        <w:rPr>
          <w:b/>
        </w:rPr>
        <w:t xml:space="preserve">Profitability: </w:t>
      </w:r>
      <w:r>
        <w:t>GRV-P uses repair cost and downtime evidence for profit decisions; GRV-FM owns the maintenance record and recommended repair/capital action.</w:t>
      </w:r>
    </w:p>
    <w:p>
      <w:r>
        <w:br w:type="page"/>
      </w:r>
    </w:p>
    <w:p>
      <w:pPr>
        <w:pStyle w:val="Heading1"/>
      </w:pPr>
      <w:r>
        <w:t>4. Governance, Roles and Authority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3168"/>
            <w:shd w:fill="0D1B2A"/>
          </w:tcPr>
          <w:p>
            <w:r/>
            <w:r>
              <w:rPr>
                <w:b/>
                <w:color w:val="FFFFFF"/>
                <w:sz w:val="16"/>
              </w:rPr>
              <w:t>Role</w:t>
            </w:r>
          </w:p>
        </w:tc>
        <w:tc>
          <w:tcPr>
            <w:tcW w:type="dxa" w:w="6912"/>
            <w:shd w:fill="0D1B2A"/>
          </w:tcPr>
          <w:p>
            <w:r/>
            <w:r>
              <w:rPr>
                <w:b/>
                <w:color w:val="FFFFFF"/>
                <w:sz w:val="16"/>
              </w:rPr>
              <w:t>Authority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Owner / Executive Sponsor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Approves system use, major thresholds, investments, and renewal decisions.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GM / System Owner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Owns the weekly/monthly operating rhythm, evidence quality, action closure, and escalation.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Department Manager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Maintains assigned tools, completes reviews on frequency, and corrects failed checks.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Qualified Reviewer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Reviews sensitive, legal, safety, employment, financial, privacy, or technical matters when required.</w:t>
            </w:r>
          </w:p>
        </w:tc>
      </w:tr>
    </w:tbl>
    <w:p>
      <w:r>
        <w:t>Authority rule: no tool is live until an owner, frequency, evidence location, and review path are known.</w:t>
      </w:r>
    </w:p>
    <w:p>
      <w:r>
        <w:br w:type="page"/>
      </w:r>
    </w:p>
    <w:p>
      <w:pPr>
        <w:pStyle w:val="Heading1"/>
      </w:pPr>
      <w:r>
        <w:t>5. Operating Rhythm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872"/>
            <w:shd w:fill="0D1B2A"/>
          </w:tcPr>
          <w:p>
            <w:r/>
            <w:r>
              <w:rPr>
                <w:b/>
                <w:color w:val="FFFFFF"/>
                <w:sz w:val="16"/>
              </w:rPr>
              <w:t>Cadence</w:t>
            </w:r>
          </w:p>
        </w:tc>
        <w:tc>
          <w:tcPr>
            <w:tcW w:type="dxa" w:w="8208"/>
            <w:shd w:fill="0D1B2A"/>
          </w:tcPr>
          <w:p>
            <w:r/>
            <w:r>
              <w:rPr>
                <w:b/>
                <w:color w:val="FFFFFF"/>
                <w:sz w:val="16"/>
              </w:rPr>
              <w:t>Required behavior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Daily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Complete front-line checks, record exceptions, protect service and guest/staff safety.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Weekly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Review open records, failed controls, repeated patterns, and highest-value corrections.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Monthly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Update scorecard, measure trends, review owner decisions, and close or escalate actions.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Quarterly</w:t>
            </w:r>
          </w:p>
        </w:tc>
        <w:tc>
          <w:tcPr>
            <w:tcW w:type="dxa" w:w="8208"/>
            <w:vAlign w:val="top"/>
          </w:tcPr>
          <w:p>
            <w:r>
              <w:t>Re-rank risk/priority, update roles, retire outdated forms, and refresh GRV-FM30 when a 90-Day Facility Control Improvement Plan is actually needed.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Annual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Renew standards, validate source authority, and decide capital/strategy priorities.</w:t>
            </w:r>
          </w:p>
        </w:tc>
      </w:tr>
    </w:tbl>
    <w:p>
      <w:r>
        <w:br w:type="page"/>
      </w:r>
    </w:p>
    <w:p>
      <w:pPr>
        <w:pStyle w:val="Heading1"/>
      </w:pPr>
      <w:r>
        <w:t>6. Data, Records and Evidence Standards</w:t>
      </w:r>
    </w:p>
    <w:p>
      <w:pPr>
        <w:pStyle w:val="ListBullet"/>
      </w:pPr>
      <w:r>
        <w:t>Use one approved current version of every tool.</w:t>
      </w:r>
    </w:p>
    <w:p>
      <w:pPr>
        <w:pStyle w:val="ListBullet"/>
      </w:pPr>
      <w:r>
        <w:t>Name the source report, owner, date, limitation, and decision.</w:t>
      </w:r>
    </w:p>
    <w:p>
      <w:pPr>
        <w:pStyle w:val="ListBullet"/>
      </w:pPr>
      <w:r>
        <w:t>Do not overwrite completed records; archive them in a controlled location.</w:t>
      </w:r>
    </w:p>
    <w:p>
      <w:pPr>
        <w:pStyle w:val="ListBullet"/>
      </w:pPr>
      <w:r>
        <w:t>Do not use estimates as final evidence without labeling them as preliminary.</w:t>
      </w:r>
    </w:p>
    <w:p>
      <w:pPr>
        <w:pStyle w:val="ListBullet"/>
      </w:pPr>
      <w:r>
        <w:t>When the record touches law, safety, health, privacy, payroll, or employment action, use qualified review.</w:t>
      </w:r>
    </w:p>
    <w:p>
      <w:pPr>
        <w:pStyle w:val="ListBullet"/>
      </w:pPr>
      <w:r>
        <w:t>Retire obsolete drafts when a new version is approved.</w:t>
      </w:r>
    </w:p>
    <w:p>
      <w:r>
        <w:br w:type="page"/>
      </w:r>
    </w:p>
    <w:p>
      <w:pPr>
        <w:pStyle w:val="Heading1"/>
      </w:pPr>
      <w:r>
        <w:t>7. Tool Directory by Operating Area</w:t>
      </w:r>
    </w:p>
    <w:p>
      <w:pPr>
        <w:pStyle w:val="Heading2"/>
      </w:pPr>
      <w:r>
        <w:t>1. Facility Governance &amp; Asset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Facility Asset Register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Facilities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At setup; 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Creates one controlled list of critical building, equipment, utility, and service assets.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Equipment Criticality &amp; Risk Ranking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Facilities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Ranks assets by service impact, safety dependency, downtime cost, food loss risk, and replacement urgency.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Facility Responsibility Map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At setup; on change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Names who owns daily condition, repairs, vendor contact, approvals, and follow-up for each area.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Approved Vendor &amp; Service Contact Register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At setup; 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Controls approved repair vendors, emergency contacts, warranty contacts, and service-level notes.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Maintenance Budget &amp; Approval Matrix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Quarterly; on change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Defines spending authority, approval thresholds, emergency exceptions, and documentation requirements.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2. Daily Readiness &amp; Physical Condition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Daily Facility Walk Checklist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Daily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Verifies guest areas, restrooms, entrances, parking, lighting, temperature, visible damage, and urgent hazards.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Opening Equipment Readiness Check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Opening Manager / Kitchen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Every opening shift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Confirms essential kitchen, bar, service, POS-adjacent, refrigeration, and holding equipment readiness before service.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Closing Facility Condition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Closing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Every closing shift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Records end-of-day physical condition, unresolved repair needs, locked areas, shut-down tasks, and next-day warnings.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GRV-FM09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Restroom &amp; Guest-Area Condition Audit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FOH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Daily and peak periods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Protects guest trust by verifying high-visibility facilities, odor, cleanliness, supplies, lighting, and repair needs.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BOH Condition &amp; Workflow Safety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Kitchen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prep, line, dish, storage, flooring, traffic flow, equipment placement, drainage, and workflow hazards.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3. Preventive Maintenance &amp; Service Rhythm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Preventive Maintenance Calendar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Facilities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Schedules planned maintenance by asset, vendor, owner, interval, evidence, and next due date.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Refrigeration &amp; Cold-Holding Equipment Service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Kitchen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Weekly; per service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Tracks condition, service work, temperatures as supporting evidence, door seals, coils, gaskets, and repair history.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Cooking Equipment Care &amp; Service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Kitchen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Weekly; per service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Controls cleaning, calibration support, service history, repair symptoms, and operating condition of cooking equipment.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HVAC, Hood &amp; Ventilation Service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Facilities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Monthly; per service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Tracks HVAC comfort, hood performance, filter service, vendor inspections, and unresolved airflow concerns.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Dish Machine &amp; Warewashing Equipment Readiness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Kitchen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Daily; weekly review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Confirms operating condition, leaks, service needs, rack flow, chemical-feed issues, and escalation path.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4. Repair, Downtime &amp; Vendor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Repair Request Intake Form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Any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issue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Captures the problem, severity, location, photo/evidence link, impact, temporary control, owner, and due date.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Repair Priority &amp; Approval Decision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material repair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Prioritizes repairs by guest impact, safety, food loss, downtime, cost, and business continuity.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Downtime &amp; Service Interruption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interruption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Records equipment or facility downtime, service effect, workaround, lost product/time, and verification of recovery.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GRV-FM19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Vendor Service Work Verification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Receiving Manager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vendor visit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Confirms what was serviced, parts used, invoice match, remaining issue, warranty note, and next action.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Warranty, Lease &amp; Service Contract Tracker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Tracks warranty periods, lease obligations, contracted service terms, expiration dates, and renewal decisions.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5. Capital Planning &amp; Renewal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Capital Replacement Watchlist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Identifies assets nearing replacement by age, repair history, downtime, parts availability, and service risk.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Repair-vs-Replace Decision Worksheet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major asset decision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Compares repair cost, replacement cost, downtime, expected useful life, risk, financing, and timing.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Facility Improvement Project Charter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project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Defines scope, purpose, budget, owner, approval, schedule, guest/staff impact, dependencies, and success measure.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Renovation / Disruption Control Plan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Project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disruption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Controls service continuity, communication, safety, staging, contractor access, operating limits, and reopening checks.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Annual Facility Renewal Roadmap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Annual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Converts facility condition, repairs, guest impact, and capital needs into a staged renewal plan.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6. Verification, Scorecards &amp; Corrective Action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 Open Repair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open repair requests, status, risk, due dates, costs, owner action, and blocked items.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 Facility Scorecard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Scores readiness, open repairs, downtime, vendor response, capital risk, and repeated physical-condition failures.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Maintenance Corrective Action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Facilities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failure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Closes repeated failures with cause, action, evidence, owner, due date, and verification.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GRV-FM29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 Facility Audit &amp; Photo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Creates a documented physical-condition record by area, asset class, issue level, correction, and follow-up.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GRV-FM30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90-Day Facility Control Improvement Plan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Turns the highest facility risks into a controlled 90-day improvement plan with milestones and verification.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1"/>
      </w:pPr>
      <w:r>
        <w:t>8. 30-Day Accelerated / 60-Day Guided Installation Paths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2592"/>
            <w:shd w:fill="0D1B2A"/>
          </w:tcPr>
          <w:p>
            <w:r>
              <w:t>Path / phase</w:t>
            </w:r>
          </w:p>
        </w:tc>
        <w:tc>
          <w:tcPr>
            <w:tcW w:type="dxa" w:w="7488"/>
            <w:shd w:fill="0D1B2A"/>
          </w:tcPr>
          <w:p>
            <w:r>
              <w:t>Facilities &amp; maintenance focus</w:t>
            </w:r>
          </w:p>
        </w:tc>
      </w:tr>
      <w:tr>
        <w:tc>
          <w:tcPr>
            <w:tcW w:type="dxa" w:w="2592"/>
            <w:vAlign w:val="top"/>
          </w:tcPr>
          <w:p>
            <w:r>
              <w:t>30-Day Accelerated — Days 1–5</w:t>
            </w:r>
          </w:p>
        </w:tc>
        <w:tc>
          <w:tcPr>
            <w:tcW w:type="dxa" w:w="7488"/>
            <w:vAlign w:val="top"/>
          </w:tcPr>
          <w:p>
            <w:r>
              <w:t>Measure + Define: confirm the pressure point, baseline condition, owner, evidence source, asset/area scope, and first 3–5 GRV-FM tools.</w:t>
            </w:r>
          </w:p>
        </w:tc>
      </w:tr>
      <w:tr>
        <w:tc>
          <w:tcPr>
            <w:tcW w:type="dxa" w:w="2592"/>
            <w:vAlign w:val="top"/>
          </w:tcPr>
          <w:p>
            <w:r>
              <w:t>Days 6–10</w:t>
            </w:r>
          </w:p>
        </w:tc>
        <w:tc>
          <w:tcPr>
            <w:tcW w:type="dxa" w:w="7488"/>
            <w:vAlign w:val="top"/>
          </w:tcPr>
          <w:p>
            <w:r>
              <w:t>Train + Pilot: train affected managers, test the walk/readiness/repair controls, and correct unclear fields before wider use.</w:t>
            </w:r>
          </w:p>
        </w:tc>
      </w:tr>
      <w:tr>
        <w:tc>
          <w:tcPr>
            <w:tcW w:type="dxa" w:w="2592"/>
            <w:vAlign w:val="top"/>
          </w:tcPr>
          <w:p>
            <w:r>
              <w:t>Days 11–20</w:t>
            </w:r>
          </w:p>
        </w:tc>
        <w:tc>
          <w:tcPr>
            <w:tcW w:type="dxa" w:w="7488"/>
            <w:vAlign w:val="top"/>
          </w:tcPr>
          <w:p>
            <w:r>
              <w:t>Execute: run the selected controls, assign repair owners, verify vendor work, track downtime, and review open repairs.</w:t>
            </w:r>
          </w:p>
        </w:tc>
      </w:tr>
      <w:tr>
        <w:tc>
          <w:tcPr>
            <w:tcW w:type="dxa" w:w="5184"/>
          </w:tcPr>
          <w:p>
            <w:r>
              <w:t>Days 21–27</w:t>
            </w:r>
          </w:p>
        </w:tc>
        <w:tc>
          <w:tcPr>
            <w:tcW w:type="dxa" w:w="5184"/>
          </w:tcPr>
          <w:p>
            <w:r>
              <w:t>Stress-Test: test busy periods, call-outs, urgent failures, vendor delays, repeat defects, and after-hours escalation.</w:t>
            </w:r>
          </w:p>
        </w:tc>
      </w:tr>
      <w:tr>
        <w:tc>
          <w:tcPr>
            <w:tcW w:type="dxa" w:w="5184"/>
          </w:tcPr>
          <w:p>
            <w:r>
              <w:t>Days 28–30</w:t>
            </w:r>
          </w:p>
        </w:tc>
        <w:tc>
          <w:tcPr>
            <w:tcW w:type="dxa" w:w="5184"/>
          </w:tcPr>
          <w:p>
            <w:r>
              <w:t>Verify + Decide: keep what creates useful control, repair what confuses users, retire duplication, and set the ongoing review rhythm.</w:t>
            </w:r>
          </w:p>
        </w:tc>
      </w:tr>
      <w:tr>
        <w:tc>
          <w:tcPr>
            <w:tcW w:type="dxa" w:w="5184"/>
          </w:tcPr>
          <w:p>
            <w:r>
              <w:t>60-Day Guided — Days 1–10</w:t>
            </w:r>
          </w:p>
        </w:tc>
        <w:tc>
          <w:tcPr>
            <w:tcW w:type="dxa" w:w="5184"/>
          </w:tcPr>
          <w:p>
            <w:r>
              <w:t>Learn + Measure: establish facility condition, asset criticality, repair history, open risks, and current evidence quality.</w:t>
            </w:r>
          </w:p>
        </w:tc>
      </w:tr>
      <w:tr>
        <w:tc>
          <w:tcPr>
            <w:tcW w:type="dxa" w:w="5184"/>
          </w:tcPr>
          <w:p>
            <w:r>
              <w:t>Days 11–20</w:t>
            </w:r>
          </w:p>
        </w:tc>
        <w:tc>
          <w:tcPr>
            <w:tcW w:type="dxa" w:w="5184"/>
          </w:tcPr>
          <w:p>
            <w:r>
              <w:t>Define + Prepare: assign responsibility, confirm vendors/approvals, build the preventive-maintenance rhythm, and select the first 3–5 tools.</w:t>
            </w:r>
          </w:p>
        </w:tc>
      </w:tr>
      <w:tr>
        <w:tc>
          <w:tcPr>
            <w:tcW w:type="dxa" w:w="5184"/>
          </w:tcPr>
          <w:p>
            <w:r>
              <w:t>Days 21–30</w:t>
            </w:r>
          </w:p>
        </w:tc>
        <w:tc>
          <w:tcPr>
            <w:tcW w:type="dxa" w:w="5184"/>
          </w:tcPr>
          <w:p>
            <w:r>
              <w:t>Train + Practice: practice daily checks, repair intake, prioritization, service verification, and escalation. Day 30 is the midpoint gate.</w:t>
            </w:r>
          </w:p>
        </w:tc>
      </w:tr>
      <w:tr>
        <w:tc>
          <w:tcPr>
            <w:tcW w:type="dxa" w:w="5184"/>
          </w:tcPr>
          <w:p>
            <w:r>
              <w:t>Days 31–46</w:t>
            </w:r>
          </w:p>
        </w:tc>
        <w:tc>
          <w:tcPr>
            <w:tcW w:type="dxa" w:w="5184"/>
          </w:tcPr>
          <w:p>
            <w:r>
              <w:t>Guided Execution: operate the selected controls with coaching, weekly open-repair review, and visible ownership.</w:t>
            </w:r>
          </w:p>
        </w:tc>
      </w:tr>
      <w:tr>
        <w:tc>
          <w:tcPr>
            <w:tcW w:type="dxa" w:w="5184"/>
          </w:tcPr>
          <w:p>
            <w:r>
              <w:t>Days 47–54</w:t>
            </w:r>
          </w:p>
        </w:tc>
        <w:tc>
          <w:tcPr>
            <w:tcW w:type="dxa" w:w="5184"/>
          </w:tcPr>
          <w:p>
            <w:r>
              <w:t>Stress-Test: challenge repeat failures, downtime response, capital risk, contractor delays, and evidence quality.</w:t>
            </w:r>
          </w:p>
        </w:tc>
      </w:tr>
      <w:tr>
        <w:tc>
          <w:tcPr>
            <w:tcW w:type="dxa" w:w="5184"/>
          </w:tcPr>
          <w:p>
            <w:r>
              <w:t>Days 55–60</w:t>
            </w:r>
          </w:p>
        </w:tc>
        <w:tc>
          <w:tcPr>
            <w:tcW w:type="dxa" w:w="5184"/>
          </w:tcPr>
          <w:p>
            <w:r>
              <w:t>Verify + Hold: confirm the controls are usable and sustained, close material actions only after verification, and make the Day 60 final decision.</w:t>
            </w:r>
          </w:p>
        </w:tc>
      </w:tr>
    </w:tbl>
    <w:p>
      <w:r>
        <w:t>Start with one real facilities or maintenance pressure point, one accountable owner, and only 3–5 GRV-FM tools. Do not create 30 recurring records simply because 30 tools exist.</w:t>
      </w:r>
    </w:p>
    <w:p>
      <w:pPr>
        <w:pStyle w:val="Heading1"/>
      </w:pPr>
      <w:r>
        <w:t>9. Dashboard and Scorecard Measures</w:t>
      </w:r>
    </w:p>
    <w:p>
      <w:pPr>
        <w:pStyle w:val="ListBullet"/>
      </w:pPr>
      <w:r>
        <w:t>Open actions</w:t>
      </w:r>
    </w:p>
    <w:p>
      <w:pPr>
        <w:pStyle w:val="ListBullet"/>
      </w:pPr>
      <w:r>
        <w:t>Overdue actions</w:t>
      </w:r>
    </w:p>
    <w:p>
      <w:pPr>
        <w:pStyle w:val="ListBullet"/>
      </w:pPr>
      <w:r>
        <w:t>High-priority failures</w:t>
      </w:r>
    </w:p>
    <w:p>
      <w:pPr>
        <w:pStyle w:val="ListBullet"/>
      </w:pPr>
      <w:r>
        <w:t>Control completion rate</w:t>
      </w:r>
    </w:p>
    <w:p>
      <w:pPr>
        <w:pStyle w:val="ListBullet"/>
      </w:pPr>
      <w:r>
        <w:t>Corrective-action closure rate</w:t>
      </w:r>
    </w:p>
    <w:p>
      <w:pPr>
        <w:pStyle w:val="ListBullet"/>
      </w:pPr>
      <w:r>
        <w:t>Owner review current</w:t>
      </w:r>
    </w:p>
    <w:p>
      <w:pPr>
        <w:pStyle w:val="ListBullet"/>
      </w:pPr>
      <w:r>
        <w:t>Next facility-control priority / GRV-FM30 90-day improvement priority when used</w:t>
      </w:r>
    </w:p>
    <w:p>
      <w:pPr>
        <w:pStyle w:val="ListBullet"/>
      </w:pPr>
      <w:r>
        <w:t>Evidence missing or stale</w:t>
      </w:r>
    </w:p>
    <w:p>
      <w:pPr>
        <w:pStyle w:val="ListBullet"/>
      </w:pPr>
      <w:r>
        <w:t>Repeat failure count</w:t>
      </w:r>
    </w:p>
    <w:p>
      <w:pPr>
        <w:pStyle w:val="ListBullet"/>
      </w:pPr>
      <w:r>
        <w:t>Qualified review required</w:t>
      </w:r>
    </w:p>
    <w:p>
      <w:r>
        <w:br w:type="page"/>
      </w:r>
    </w:p>
    <w:p>
      <w:pPr>
        <w:pStyle w:val="Heading1"/>
      </w:pPr>
      <w:r>
        <w:t>10. Corrective Action Standard</w:t>
      </w:r>
    </w:p>
    <w:p>
      <w:pPr>
        <w:pStyle w:val="ListNumber"/>
      </w:pPr>
      <w:r>
        <w:t>Define the material failure or repeated exception in one factual sentence.</w:t>
      </w:r>
    </w:p>
    <w:p>
      <w:pPr>
        <w:pStyle w:val="ListNumber"/>
      </w:pPr>
      <w:r>
        <w:t>Record the immediate correction or temporary control, the source used, and any evidence limitation.</w:t>
      </w:r>
    </w:p>
    <w:p>
      <w:pPr>
        <w:pStyle w:val="ListNumber"/>
      </w:pPr>
      <w:r>
        <w:t>Identify the confirmed cause when known; if unknown, mark it still under review rather than inventing an answer.</w:t>
      </w:r>
    </w:p>
    <w:p>
      <w:pPr>
        <w:pStyle w:val="ListNumber"/>
      </w:pPr>
      <w:r>
        <w:t>Assign one owner, one required action, and one due date.</w:t>
      </w:r>
    </w:p>
    <w:p>
      <w:pPr>
        <w:pStyle w:val="ListNumber"/>
      </w:pPr>
      <w:r>
        <w:t>Use status: Open → Assigned → Correction in Progress → Corrected → Verified Closed.</w:t>
      </w:r>
    </w:p>
    <w:p>
      <w:pPr>
        <w:pStyle w:val="ListNumber"/>
      </w:pPr>
      <w:r>
        <w:t>Do not mark Verified Closed until evidence shows the correction worked; if the problem returns, review whether the cause or correction was wrong or too weak.</w:t>
      </w:r>
    </w:p>
    <w:p>
      <w:r>
        <w:t>Do not create formal corrective-action paperwork for trivial one-time fixes that are immediately resolved and unlikely to recur.</w:t>
      </w:r>
    </w:p>
    <w:p>
      <w:pPr>
        <w:pStyle w:val="Heading1"/>
      </w:pPr>
      <w:r>
        <w:t>11. Source and Professional Review Notice</w:t>
      </w:r>
    </w:p>
    <w:p>
      <w:r>
        <w:t>This system organizes management records and decisions. It does not replace legal, employment, payroll, tax, accounting, engineering, safety, fire, food-code, accessibility, privacy, payment-card, insurance, public-health, or other qualified professional review. Use current federal, state, local, tribal, territorial, platform, lender, insurer, and contract requirements where applicable.</w:t>
      </w:r>
    </w:p>
    <w:p>
      <w:pPr>
        <w:pStyle w:val="Heading2"/>
      </w:pPr>
      <w:r>
        <w:t>Official Source References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36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Reference</w:t>
            </w:r>
          </w:p>
        </w:tc>
        <w:tc>
          <w:tcPr>
            <w:tcW w:type="dxa" w:w="64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URL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OSHA Recommended Practices for Safety and Health Programs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https://www.osha.gov/safety-management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EPA Safer Choice / chemical safety resources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https://www.epa.gov/saferchoice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NFPA Codes and Standards reference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https://www.nfpa.org/codes-and-standards</w:t>
            </w:r>
          </w:p>
        </w:tc>
      </w:tr>
    </w:tbl>
    <w:p>
      <w:r>
        <w:t>Final operating standard: face the truth, measure the cost, build the system, and verify the result before expanding the work.</w:t>
      </w:r>
    </w:p>
    <w:sectPr w:rsidR="00FC693F" w:rsidRPr="0006063C" w:rsidSect="00034616">
      <w:headerReference w:type="default" r:id="rId9"/>
      <w:footerReference w:type="default" r:id="rId10"/>
      <w:footerReference w:type="first" r:id="rId11"/>
      <w:footerReference w:type="even" r:id="rId12"/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Published by Thomas Monroe Books | Author: Thomas Butler | Release 1.1 | 2026-08-21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b/>
        <w:color w:val="C8A24A"/>
        <w:sz w:val="16"/>
      </w:rPr>
      <w:t>THE GRAVITY SYSTEM | GRV-FM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0D1B2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8A1F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footer" Target="footer2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