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GravityLabel"/>
        <w:pBdr>
          <w:bottom w:val="single" w:sz="12" w:space="1" w:color="B38B2E"/>
        </w:pBdr>
      </w:pPr>
      <w:r>
        <w:t>THE GRAVITY RESTAURANT LEADERSHIP SYSTEM</w:t>
      </w:r>
    </w:p>
    <w:p/>
    <w:p/>
    <w:p>
      <w:pPr>
        <w:spacing w:after="200"/>
      </w:pPr>
      <w:r>
        <w:rPr>
          <w:rFonts w:ascii="Aptos Display" w:hAnsi="Aptos Display"/>
          <w:b/>
          <w:color w:val="0B2545"/>
          <w:sz w:val="60"/>
        </w:rPr>
        <w:t>The Gravity Food Safety &amp; Sanitation System</w:t>
      </w:r>
    </w:p>
    <w:p>
      <w:pPr>
        <w:spacing w:after="480"/>
      </w:pPr>
      <w:r>
        <w:rPr>
          <w:color w:val="5C6570"/>
          <w:sz w:val="28"/>
        </w:rPr>
        <w:t>A source-controlled management system for safe food, sanitation, inspection readiness, and corrective action.</w:t>
      </w:r>
    </w:p>
    <w:tbl>
      <w:tblPr>
        <w:tblW w:type="auto" w:w="0"/>
        <w:jc w:val="left"/>
        <w:tblLayout w:type="fixed"/>
        <w:tblLook w:firstColumn="1" w:firstRow="1" w:lastColumn="0" w:lastRow="0" w:noHBand="0" w:noVBand="1" w:val="04A0"/>
      </w:tblPr>
      <w:tblGrid>
        <w:gridCol w:w="4939"/>
        <w:gridCol w:w="4939"/>
      </w:tblGrid>
      <w:tr>
        <w:tc>
          <w:tcPr>
            <w:tcW w:type="dxa" w:w="2304"/>
            <w:shd w:fill="0B2545"/>
            <w:tcMar>
              <w:top w:w="80" w:type="dxa"/>
              <w:start w:w="100" w:type="dxa"/>
              <w:bottom w:w="80" w:type="dxa"/>
              <w:end w:w="100" w:type="dxa"/>
            </w:tcMar>
          </w:tcPr>
          <w:p>
            <w:r>
              <w:rPr>
                <w:b/>
                <w:color w:val="FFFFFF"/>
                <w:sz w:val="17"/>
              </w:rPr>
              <w:t>SYSTEM FAMILY</w:t>
            </w:r>
          </w:p>
        </w:tc>
        <w:tc>
          <w:tcPr>
            <w:tcW w:type="dxa" w:w="8352"/>
            <w:shd w:fill="F7F1E3"/>
            <w:tcMar>
              <w:top w:w="80" w:type="dxa"/>
              <w:start w:w="100" w:type="dxa"/>
              <w:bottom w:w="80" w:type="dxa"/>
              <w:end w:w="100" w:type="dxa"/>
            </w:tcMar>
          </w:tcPr>
          <w:p>
            <w:r>
              <w:rPr>
                <w:color w:val="172231"/>
                <w:sz w:val="18"/>
              </w:rPr>
              <w:t>GRV-FS01-GRV-FS30</w:t>
            </w:r>
          </w:p>
        </w:tc>
      </w:tr>
      <w:tr>
        <w:tc>
          <w:tcPr>
            <w:tcW w:type="dxa" w:w="2304"/>
            <w:shd w:fill="0B2545"/>
            <w:tcMar>
              <w:top w:w="80" w:type="dxa"/>
              <w:start w:w="100" w:type="dxa"/>
              <w:bottom w:w="80" w:type="dxa"/>
              <w:end w:w="100" w:type="dxa"/>
            </w:tcMar>
          </w:tcPr>
          <w:p>
            <w:r>
              <w:rPr>
                <w:b/>
                <w:color w:val="FFFFFF"/>
                <w:sz w:val="17"/>
              </w:rPr>
              <w:t>DOCUMENT</w:t>
            </w:r>
          </w:p>
        </w:tc>
        <w:tc>
          <w:tcPr>
            <w:tcW w:type="dxa" w:w="8352"/>
            <w:shd w:fill="F7F1E3"/>
            <w:tcMar>
              <w:top w:w="80" w:type="dxa"/>
              <w:start w:w="100" w:type="dxa"/>
              <w:bottom w:w="80" w:type="dxa"/>
              <w:end w:w="100" w:type="dxa"/>
            </w:tcMar>
          </w:tcPr>
          <w:p>
            <w:r>
              <w:rPr>
                <w:color w:val="172231"/>
                <w:sz w:val="18"/>
              </w:rPr>
              <w:t>Operating Manual</w:t>
            </w:r>
          </w:p>
        </w:tc>
      </w:tr>
      <w:tr>
        <w:tc>
          <w:tcPr>
            <w:tcW w:type="dxa" w:w="2304"/>
            <w:shd w:fill="0B2545"/>
            <w:tcMar>
              <w:top w:w="80" w:type="dxa"/>
              <w:start w:w="100" w:type="dxa"/>
              <w:bottom w:w="80" w:type="dxa"/>
              <w:end w:w="100" w:type="dxa"/>
            </w:tcMar>
          </w:tcPr>
          <w:p>
            <w:r>
              <w:rPr>
                <w:b/>
                <w:color w:val="FFFFFF"/>
                <w:sz w:val="17"/>
              </w:rPr>
              <w:t>EDITION</w:t>
            </w:r>
          </w:p>
        </w:tc>
        <w:tc>
          <w:tcPr>
            <w:tcW w:type="dxa" w:w="8352"/>
            <w:shd w:fill="F7F1E3"/>
            <w:tcMar>
              <w:top w:w="80" w:type="dxa"/>
              <w:start w:w="100" w:type="dxa"/>
              <w:bottom w:w="80" w:type="dxa"/>
              <w:end w:w="100" w:type="dxa"/>
            </w:tcMar>
          </w:tcPr>
          <w:p>
            <w:r>
              <w:rPr>
                <w:color w:val="172231"/>
                <w:sz w:val="18"/>
              </w:rPr>
              <w:t>Founding Year Release 1.1 | August 2026</w:t>
            </w:r>
          </w:p>
        </w:tc>
      </w:tr>
    </w:tbl>
    <w:p/>
    <w:p>
      <w:r>
        <w:rPr>
          <w:b/>
          <w:color w:val="B38B2E"/>
          <w:sz w:val="24"/>
        </w:rPr>
        <w:t>TRUTH  -&gt;  COST  -&gt;  SYSTEM</w:t>
      </w:r>
    </w:p>
    <w:p>
      <w:r>
        <w:rPr>
          <w:sz w:val="20"/>
        </w:rPr>
        <w:t>Published by Thomas Monroe Books</w:t>
        <w:br/>
        <w:t>Author: Thomas Butler</w:t>
      </w:r>
    </w:p>
    <w:p>
      <w:r>
        <w:br w:type="page"/>
      </w:r>
    </w:p>
    <w:p>
      <w:pPr>
        <w:pStyle w:val="Heading1"/>
        <w:keepNext/>
        <w:spacing w:before="200"/>
      </w:pPr>
      <w:r>
        <w:t>1. Purpose and Operating Promise</w:t>
      </w:r>
    </w:p>
    <w:p>
      <w:pPr>
        <w:spacing w:after="160"/>
      </w:pPr>
      <w:r>
        <w:t>Creates one controlled management system for food-safety authority, source control, employee health, time and temperature, contamination prevention, sanitation, environmental conditions, inspection readiness, corrective action, and verification.</w:t>
      </w:r>
    </w:p>
    <w:tbl>
      <w:tblPr>
        <w:tblW w:type="auto" w:w="0"/>
        <w:jc w:val="center"/>
        <w:tblLook w:firstColumn="1" w:firstRow="1" w:lastColumn="0" w:lastRow="0" w:noHBand="0" w:noVBand="1" w:val="04A0"/>
      </w:tblPr>
      <w:tblGrid>
        <w:gridCol w:w="4939"/>
        <w:gridCol w:w="4939"/>
      </w:tblGrid>
      <w:tr>
        <w:tc>
          <w:tcPr>
            <w:tcW w:type="dxa" w:w="4939"/>
            <w:shd w:fill="0B2545"/>
            <w:tcMar>
              <w:top w:w="80" w:type="dxa"/>
              <w:start w:w="100" w:type="dxa"/>
              <w:bottom w:w="80" w:type="dxa"/>
              <w:end w:w="100" w:type="dxa"/>
            </w:tcMar>
          </w:tcPr>
          <w:p>
            <w:r>
              <w:rPr>
                <w:b/>
                <w:color w:val="FFFFFF"/>
              </w:rPr>
              <w:t>Truth</w:t>
            </w:r>
          </w:p>
        </w:tc>
        <w:tc>
          <w:tcPr>
            <w:tcW w:type="dxa" w:w="4939"/>
            <w:shd w:fill="EAF0F6"/>
            <w:tcMar>
              <w:top w:w="80" w:type="dxa"/>
              <w:start w:w="100" w:type="dxa"/>
              <w:bottom w:w="80" w:type="dxa"/>
              <w:end w:w="100" w:type="dxa"/>
            </w:tcMar>
          </w:tcPr>
          <w:p>
            <w:r>
              <w:t>Use controlled evidence to establish what is actually happening.</w:t>
            </w:r>
          </w:p>
        </w:tc>
      </w:tr>
      <w:tr>
        <w:tc>
          <w:tcPr>
            <w:tcW w:type="dxa" w:w="4939"/>
            <w:shd w:fill="0B2545"/>
            <w:tcMar>
              <w:top w:w="80" w:type="dxa"/>
              <w:start w:w="100" w:type="dxa"/>
              <w:bottom w:w="80" w:type="dxa"/>
              <w:end w:w="100" w:type="dxa"/>
            </w:tcMar>
          </w:tcPr>
          <w:p>
            <w:r>
              <w:rPr>
                <w:b/>
                <w:color w:val="FFFFFF"/>
              </w:rPr>
              <w:t>Cost</w:t>
            </w:r>
          </w:p>
        </w:tc>
        <w:tc>
          <w:tcPr>
            <w:tcW w:type="dxa" w:w="4939"/>
            <w:shd w:fill="F7F1E3"/>
            <w:tcMar>
              <w:top w:w="80" w:type="dxa"/>
              <w:start w:w="100" w:type="dxa"/>
              <w:bottom w:w="80" w:type="dxa"/>
              <w:end w:w="100" w:type="dxa"/>
            </w:tcMar>
          </w:tcPr>
          <w:p>
            <w:r>
              <w:t>Name the operational, financial, safety, guest, or people consequence of leaving the gap uncorrected.</w:t>
            </w:r>
          </w:p>
        </w:tc>
      </w:tr>
      <w:tr>
        <w:tc>
          <w:tcPr>
            <w:tcW w:type="dxa" w:w="4939"/>
            <w:shd w:fill="0B2545"/>
            <w:tcMar>
              <w:top w:w="80" w:type="dxa"/>
              <w:start w:w="100" w:type="dxa"/>
              <w:bottom w:w="80" w:type="dxa"/>
              <w:end w:w="100" w:type="dxa"/>
            </w:tcMar>
          </w:tcPr>
          <w:p>
            <w:r>
              <w:rPr>
                <w:b/>
                <w:color w:val="FFFFFF"/>
              </w:rPr>
              <w:t>System</w:t>
            </w:r>
          </w:p>
        </w:tc>
        <w:tc>
          <w:tcPr>
            <w:tcW w:type="dxa" w:w="4939"/>
            <w:shd w:fill="EAF0F6"/>
            <w:tcMar>
              <w:top w:w="80" w:type="dxa"/>
              <w:start w:w="100" w:type="dxa"/>
              <w:bottom w:w="80" w:type="dxa"/>
              <w:end w:w="100" w:type="dxa"/>
            </w:tcMar>
          </w:tcPr>
          <w:p>
            <w:r>
              <w:t>Assign ownership, frequency, evidence, decision rules, corrective action, and verification.</w:t>
            </w:r>
          </w:p>
        </w:tc>
      </w:tr>
      <w:tr>
        <w:tc>
          <w:tcPr>
            <w:tcW w:type="dxa" w:w="4939"/>
            <w:shd w:fill="0B2545"/>
            <w:tcMar>
              <w:top w:w="80" w:type="dxa"/>
              <w:start w:w="100" w:type="dxa"/>
              <w:bottom w:w="80" w:type="dxa"/>
              <w:end w:w="100" w:type="dxa"/>
            </w:tcMar>
          </w:tcPr>
          <w:p>
            <w:r>
              <w:rPr>
                <w:b/>
                <w:color w:val="FFFFFF"/>
              </w:rPr>
              <w:t>Renewal</w:t>
            </w:r>
          </w:p>
        </w:tc>
        <w:tc>
          <w:tcPr>
            <w:tcW w:type="dxa" w:w="4939"/>
            <w:shd w:fill="F7F1E3"/>
            <w:tcMar>
              <w:top w:w="80" w:type="dxa"/>
              <w:start w:w="100" w:type="dxa"/>
              <w:bottom w:w="80" w:type="dxa"/>
              <w:end w:w="100" w:type="dxa"/>
            </w:tcMar>
          </w:tcPr>
          <w:p>
            <w:r>
              <w:t>Retest the result, update the controlled standard when needed, and set the next review date.</w:t>
            </w:r>
          </w:p>
        </w:tc>
      </w:tr>
    </w:tbl>
    <w:p>
      <w:pPr>
        <w:pStyle w:val="Heading1"/>
        <w:keepNext/>
        <w:spacing w:before="200"/>
      </w:pPr>
      <w:r>
        <w:t>2. The Gravity Control Standard</w:t>
      </w:r>
    </w:p>
    <w:p>
      <w:pPr>
        <w:pStyle w:val="ListBullet"/>
      </w:pPr>
      <w:r>
        <w:t>Every active tool has one official ID, one named owner, one stated frequency, and one current version.</w:t>
      </w:r>
    </w:p>
    <w:p>
      <w:pPr>
        <w:pStyle w:val="ListBullet"/>
      </w:pPr>
      <w:r>
        <w:t>Every management conclusion points back to a defined source, period, and limitation.</w:t>
      </w:r>
    </w:p>
    <w:p>
      <w:pPr>
        <w:pStyle w:val="ListBullet"/>
      </w:pPr>
      <w:r>
        <w:t>Forms and workbooks organize evidence; they do not become the legal, accounting, payroll, health-department, or other source record unless the applicable authority says they do.</w:t>
      </w:r>
    </w:p>
    <w:p>
      <w:pPr>
        <w:pStyle w:val="ListBullet"/>
      </w:pPr>
      <w:r>
        <w:t>A failed check produces a decision: correct, escalate, accept with documented authority, or stop.</w:t>
      </w:r>
    </w:p>
    <w:p>
      <w:pPr>
        <w:pStyle w:val="ListBullet"/>
      </w:pPr>
      <w:r>
        <w:t>No metric may be improved by quietly weakening safety, legality, quality, hospitality, or approved operating standards.</w:t>
      </w:r>
    </w:p>
    <w:p>
      <w:pPr>
        <w:pStyle w:val="ListBullet"/>
      </w:pPr>
      <w:r>
        <w:t>Local copies must not drift from the controlled master without documented approval and version change.</w:t>
      </w:r>
    </w:p>
    <w:p>
      <w:pPr>
        <w:pStyle w:val="Heading1"/>
        <w:keepNext/>
        <w:spacing w:before="200"/>
      </w:pPr>
      <w:r>
        <w:t>3. Architecture and Boundaries</w:t>
      </w:r>
    </w:p>
    <w:p>
      <w:r>
        <w:t>This system owns a specific operating subject. It references neighboring Gravity systems without rebuilding their records.</w:t>
      </w:r>
    </w:p>
    <w:tbl>
      <w:tblPr>
        <w:tblStyle w:val="TableGrid"/>
        <w:tblW w:type="auto" w:w="0"/>
        <w:tblLook w:firstColumn="1" w:firstRow="1" w:lastColumn="0" w:lastRow="0" w:noHBand="0" w:noVBand="1" w:val="04A0"/>
      </w:tblPr>
      <w:tblGrid>
        <w:gridCol w:w="4939"/>
        <w:gridCol w:w="4939"/>
      </w:tblGrid>
      <w:tr>
        <w:trPr>
          <w:tblHeader w:val="true"/>
        </w:trPr>
        <w:tc>
          <w:tcPr>
            <w:tcW w:type="dxa" w:w="4939"/>
            <w:shd w:fill="0B2545"/>
          </w:tcPr>
          <w:p>
            <w:r>
              <w:rPr>
                <w:b/>
                <w:color w:val="FFFFFF"/>
              </w:rPr>
              <w:t>Connected system / authority</w:t>
            </w:r>
          </w:p>
        </w:tc>
        <w:tc>
          <w:tcPr>
            <w:tcW w:type="dxa" w:w="4939"/>
            <w:shd w:fill="0B2545"/>
          </w:tcPr>
          <w:p>
            <w:r>
              <w:rPr>
                <w:b/>
                <w:color w:val="FFFFFF"/>
              </w:rPr>
              <w:t>Boundary</w:t>
            </w:r>
          </w:p>
        </w:tc>
      </w:tr>
      <w:tr>
        <w:tc>
          <w:tcPr>
            <w:tcW w:type="dxa" w:w="4939"/>
            <w:tcMar>
              <w:top w:w="80" w:type="dxa"/>
              <w:start w:w="100" w:type="dxa"/>
              <w:bottom w:w="80" w:type="dxa"/>
              <w:end w:w="100" w:type="dxa"/>
            </w:tcMar>
          </w:tcPr>
          <w:p>
            <w:r>
              <w:t>Applicable regulatory authority</w:t>
            </w:r>
          </w:p>
        </w:tc>
        <w:tc>
          <w:tcPr>
            <w:tcW w:type="dxa" w:w="4939"/>
            <w:tcMar>
              <w:top w:w="80" w:type="dxa"/>
              <w:start w:w="100" w:type="dxa"/>
              <w:bottom w:w="80" w:type="dxa"/>
              <w:end w:w="100" w:type="dxa"/>
            </w:tcMar>
          </w:tcPr>
          <w:p>
            <w:r>
              <w:t>GRV-FS uses the current FDA Food Code as a federal model reference but requires the restaurant to map the state, local, tribal, territorial, or other authority actually applicable to the location.</w:t>
            </w:r>
          </w:p>
        </w:tc>
      </w:tr>
      <w:tr>
        <w:tc>
          <w:tcPr>
            <w:tcW w:type="dxa" w:w="4939"/>
            <w:tcMar>
              <w:top w:w="80" w:type="dxa"/>
              <w:start w:w="100" w:type="dxa"/>
              <w:bottom w:w="80" w:type="dxa"/>
              <w:end w:w="100" w:type="dxa"/>
            </w:tcMar>
          </w:tcPr>
          <w:p>
            <w:r>
              <w:t>GRV-RC Risk &amp; Continuity</w:t>
            </w:r>
          </w:p>
        </w:tc>
        <w:tc>
          <w:tcPr>
            <w:tcW w:type="dxa" w:w="4939"/>
            <w:tcMar>
              <w:top w:w="80" w:type="dxa"/>
              <w:start w:w="100" w:type="dxa"/>
              <w:bottom w:w="80" w:type="dxa"/>
              <w:end w:w="100" w:type="dxa"/>
            </w:tcMar>
          </w:tcPr>
          <w:p>
            <w:r>
              <w:t>Owns emergency coordination, continuity, recovery, and reopening. GRV-FS owns routine food-safety control, monitoring, sanitation, inspection evidence, and corrective action.</w:t>
            </w:r>
          </w:p>
        </w:tc>
      </w:tr>
      <w:tr>
        <w:tc>
          <w:tcPr>
            <w:tcW w:type="dxa" w:w="4939"/>
            <w:tcMar>
              <w:top w:w="80" w:type="dxa"/>
              <w:start w:w="100" w:type="dxa"/>
              <w:bottom w:w="80" w:type="dxa"/>
              <w:end w:w="100" w:type="dxa"/>
            </w:tcMar>
          </w:tcPr>
          <w:p>
            <w:r>
              <w:t>GRV-F Food Cost &amp; Inventory</w:t>
            </w:r>
          </w:p>
        </w:tc>
        <w:tc>
          <w:tcPr>
            <w:tcW w:type="dxa" w:w="4939"/>
            <w:tcMar>
              <w:top w:w="80" w:type="dxa"/>
              <w:start w:w="100" w:type="dxa"/>
              <w:bottom w:w="80" w:type="dxa"/>
              <w:end w:w="100" w:type="dxa"/>
            </w:tcMar>
          </w:tcPr>
          <w:p>
            <w:r>
              <w:t>Owns product cost, purchasing, inventory, yield, and waste economics. GRV-FS controls whether food is safe to receive, store, prepare, hold, serve, retain, discard, or correct.</w:t>
            </w:r>
          </w:p>
        </w:tc>
      </w:tr>
      <w:tr>
        <w:tc>
          <w:tcPr>
            <w:tcW w:type="dxa" w:w="4939"/>
            <w:tcMar>
              <w:top w:w="80" w:type="dxa"/>
              <w:start w:w="100" w:type="dxa"/>
              <w:bottom w:w="80" w:type="dxa"/>
              <w:end w:w="100" w:type="dxa"/>
            </w:tcMar>
          </w:tcPr>
          <w:p>
            <w:r>
              <w:t>SOP Library / GRV-S</w:t>
            </w:r>
          </w:p>
        </w:tc>
        <w:tc>
          <w:tcPr>
            <w:tcW w:type="dxa" w:w="4939"/>
            <w:tcMar>
              <w:top w:w="80" w:type="dxa"/>
              <w:start w:w="100" w:type="dxa"/>
              <w:bottom w:w="80" w:type="dxa"/>
              <w:end w:w="100" w:type="dxa"/>
            </w:tcMar>
          </w:tcPr>
          <w:p>
            <w:r>
              <w:t>Provides approved task procedures. GRV-FS verifies source authority, responsibility, monitoring, exceptions, corrective action, and evidence.</w:t>
            </w:r>
          </w:p>
        </w:tc>
      </w:tr>
      <w:tr>
        <w:tc>
          <w:tcPr>
            <w:tcW w:type="dxa" w:w="4939"/>
            <w:tcMar>
              <w:top w:w="80" w:type="dxa"/>
              <w:start w:w="100" w:type="dxa"/>
              <w:bottom w:w="80" w:type="dxa"/>
              <w:end w:w="100" w:type="dxa"/>
            </w:tcMar>
          </w:tcPr>
          <w:p>
            <w:r>
              <w:t>Qualified health / legal / regulatory review</w:t>
            </w:r>
          </w:p>
        </w:tc>
        <w:tc>
          <w:tcPr>
            <w:tcW w:type="dxa" w:w="4939"/>
            <w:tcMar>
              <w:top w:w="80" w:type="dxa"/>
              <w:start w:w="100" w:type="dxa"/>
              <w:bottom w:w="80" w:type="dxa"/>
              <w:end w:w="100" w:type="dxa"/>
            </w:tcMar>
          </w:tcPr>
          <w:p>
            <w:r>
              <w:t>The system organizes management records; it does not replace the health department, medical advice, legal advice, or jurisdiction-specific requirements.</w:t>
            </w:r>
          </w:p>
        </w:tc>
      </w:tr>
    </w:tbl>
    <w:p>
      <w:pPr>
        <w:pStyle w:val="Heading1"/>
        <w:keepNext/>
        <w:spacing w:before="200"/>
      </w:pPr>
      <w:r>
        <w:t>4. Roles, Authority and Escalation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Role</w:t>
            </w:r>
          </w:p>
        </w:tc>
        <w:tc>
          <w:tcPr>
            <w:tcW w:type="dxa" w:w="4939"/>
            <w:shd w:fill="0B2545"/>
          </w:tcPr>
          <w:p>
            <w:r>
              <w:rPr>
                <w:b/>
                <w:color w:val="FFFFFF"/>
              </w:rPr>
              <w:t>Control responsibility</w:t>
            </w:r>
          </w:p>
        </w:tc>
      </w:tr>
      <w:tr>
        <w:tc>
          <w:tcPr>
            <w:tcW w:type="dxa" w:w="4939"/>
          </w:tcPr>
          <w:p>
            <w:r>
              <w:t>Owner / Executive Sponsor</w:t>
            </w:r>
          </w:p>
        </w:tc>
        <w:tc>
          <w:tcPr>
            <w:tcW w:type="dxa" w:w="4939"/>
          </w:tcPr>
          <w:p>
            <w:r>
              <w:t>Approves the system objective, authority boundaries, high-risk exceptions, resources, and quarterly priorities.</w:t>
            </w:r>
          </w:p>
        </w:tc>
      </w:tr>
      <w:tr>
        <w:tc>
          <w:tcPr>
            <w:tcW w:type="dxa" w:w="4939"/>
          </w:tcPr>
          <w:p>
            <w:r>
              <w:t>System Owner</w:t>
            </w:r>
          </w:p>
        </w:tc>
        <w:tc>
          <w:tcPr>
            <w:tcW w:type="dxa" w:w="4939"/>
          </w:tcPr>
          <w:p>
            <w:r>
              <w:t>Maintains the active system, source map, tool versions, dashboard, review cadence, and open corrective actions.</w:t>
            </w:r>
          </w:p>
        </w:tc>
      </w:tr>
      <w:tr>
        <w:tc>
          <w:tcPr>
            <w:tcW w:type="dxa" w:w="4939"/>
          </w:tcPr>
          <w:p>
            <w:r>
              <w:t>Manager on Duty / Department Owner</w:t>
            </w:r>
          </w:p>
        </w:tc>
        <w:tc>
          <w:tcPr>
            <w:tcW w:type="dxa" w:w="4939"/>
          </w:tcPr>
          <w:p>
            <w:r>
              <w:t>Uses the required records, acts within approved authority, escalates exceptions, and verifies shift-level completion.</w:t>
            </w:r>
          </w:p>
        </w:tc>
      </w:tr>
      <w:tr>
        <w:tc>
          <w:tcPr>
            <w:tcW w:type="dxa" w:w="4939"/>
          </w:tcPr>
          <w:p>
            <w:r>
              <w:t>Record Owner / Trainer / Specialist</w:t>
            </w:r>
          </w:p>
        </w:tc>
        <w:tc>
          <w:tcPr>
            <w:tcW w:type="dxa" w:w="4939"/>
          </w:tcPr>
          <w:p>
            <w:r>
              <w:t>Creates accurate evidence, follows the current standard, corrects known errors, and flags uncertainty.</w:t>
            </w:r>
          </w:p>
        </w:tc>
      </w:tr>
      <w:tr>
        <w:tc>
          <w:tcPr>
            <w:tcW w:type="dxa" w:w="4939"/>
          </w:tcPr>
          <w:p>
            <w:r>
              <w:t>Qualified Reviewer</w:t>
            </w:r>
          </w:p>
        </w:tc>
        <w:tc>
          <w:tcPr>
            <w:tcW w:type="dxa" w:w="4939"/>
          </w:tcPr>
          <w:p>
            <w:r>
              <w:t>Handles matters requiring legal, accounting, payroll, food-safety, HR, insurance, regulatory, or other specialized judgment.</w:t>
            </w:r>
          </w:p>
        </w:tc>
      </w:tr>
    </w:tbl>
    <w:p>
      <w:pPr>
        <w:pStyle w:val="IntenseQuote"/>
      </w:pPr>
      <w:r>
        <w:t>ESCALATION RULE: When authority, source validity, safety, legality, or required evidence is unclear, pause the affected decision when feasible and route the issue to the appropriate qualified owner rather than inventing a local rule.</w:t>
      </w:r>
    </w:p>
    <w:p>
      <w:pPr>
        <w:pStyle w:val="Heading1"/>
        <w:keepNext/>
        <w:spacing w:before="200"/>
      </w:pPr>
      <w:r>
        <w:t>5. Source Control and Evidence Quality</w:t>
      </w:r>
    </w:p>
    <w:p>
      <w:pPr>
        <w:pStyle w:val="ListBullet"/>
      </w:pPr>
      <w:r>
        <w:t>Record the source system or document, report name, period/as-of time, owner, and whether the information is preliminary or final.</w:t>
      </w:r>
    </w:p>
    <w:p>
      <w:pPr>
        <w:pStyle w:val="ListBullet"/>
      </w:pPr>
      <w:r>
        <w:t>Preserve corrections rather than silently overwriting material history. Note what changed, why, by whom, and when.</w:t>
      </w:r>
    </w:p>
    <w:p>
      <w:pPr>
        <w:pStyle w:val="ListBullet"/>
      </w:pPr>
      <w:r>
        <w:t>Use one approved definition for every recurring metric. If a definition changes, mark the effective date and do not compare unlike periods without disclosure.</w:t>
      </w:r>
    </w:p>
    <w:p>
      <w:pPr>
        <w:pStyle w:val="ListBullet"/>
      </w:pPr>
      <w:r>
        <w:t>Retain supporting evidence according to the restaurant’s approved records policy and any applicable legal or regulatory requirements.</w:t>
      </w:r>
    </w:p>
    <w:p>
      <w:pPr>
        <w:pStyle w:val="ListBullet"/>
      </w:pPr>
      <w:r>
        <w:t>Do not collect sensitive personal or health information merely because a form has space for it. Record only what the approved process needs.</w:t>
      </w:r>
    </w:p>
    <w:p>
      <w:pPr>
        <w:pStyle w:val="Heading1"/>
        <w:keepNext/>
        <w:spacing w:before="200"/>
      </w:pPr>
      <w:r>
        <w:t>6. Operating Cycle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Step</w:t>
            </w:r>
          </w:p>
        </w:tc>
        <w:tc>
          <w:tcPr>
            <w:tcW w:type="dxa" w:w="3293"/>
            <w:shd w:fill="0B2545"/>
          </w:tcPr>
          <w:p>
            <w:r>
              <w:rPr>
                <w:b/>
                <w:color w:val="FFFFFF"/>
              </w:rPr>
              <w:t>Management question</w:t>
            </w:r>
          </w:p>
        </w:tc>
        <w:tc>
          <w:tcPr>
            <w:tcW w:type="dxa" w:w="3293"/>
            <w:shd w:fill="0B2545"/>
          </w:tcPr>
          <w:p>
            <w:r>
              <w:rPr>
                <w:b/>
                <w:color w:val="FFFFFF"/>
              </w:rPr>
              <w:t>Output</w:t>
            </w:r>
          </w:p>
        </w:tc>
      </w:tr>
      <w:tr>
        <w:tc>
          <w:tcPr>
            <w:tcW w:type="dxa" w:w="3293"/>
          </w:tcPr>
          <w:p>
            <w:r>
              <w:t>1</w:t>
            </w:r>
          </w:p>
        </w:tc>
        <w:tc>
          <w:tcPr>
            <w:tcW w:type="dxa" w:w="3293"/>
          </w:tcPr>
          <w:p>
            <w:r>
              <w:t>What is the approved rule?</w:t>
            </w:r>
          </w:p>
        </w:tc>
        <w:tc>
          <w:tcPr>
            <w:tcW w:type="dxa" w:w="3293"/>
          </w:tcPr>
          <w:p>
            <w:r>
              <w:t>Authority / target</w:t>
            </w:r>
          </w:p>
        </w:tc>
      </w:tr>
      <w:tr>
        <w:tc>
          <w:tcPr>
            <w:tcW w:type="dxa" w:w="3293"/>
          </w:tcPr>
          <w:p>
            <w:r>
              <w:t>2</w:t>
            </w:r>
          </w:p>
        </w:tc>
        <w:tc>
          <w:tcPr>
            <w:tcW w:type="dxa" w:w="3293"/>
          </w:tcPr>
          <w:p>
            <w:r>
              <w:t>What actually happened?</w:t>
            </w:r>
          </w:p>
        </w:tc>
        <w:tc>
          <w:tcPr>
            <w:tcW w:type="dxa" w:w="3293"/>
          </w:tcPr>
          <w:p>
            <w:r>
              <w:t>Source-backed record</w:t>
            </w:r>
          </w:p>
        </w:tc>
      </w:tr>
      <w:tr>
        <w:tc>
          <w:tcPr>
            <w:tcW w:type="dxa" w:w="3293"/>
          </w:tcPr>
          <w:p>
            <w:r>
              <w:t>3</w:t>
            </w:r>
          </w:p>
        </w:tc>
        <w:tc>
          <w:tcPr>
            <w:tcW w:type="dxa" w:w="3293"/>
          </w:tcPr>
          <w:p>
            <w:r>
              <w:t>What is missing or outside control?</w:t>
            </w:r>
          </w:p>
        </w:tc>
        <w:tc>
          <w:tcPr>
            <w:tcW w:type="dxa" w:w="3293"/>
          </w:tcPr>
          <w:p>
            <w:r>
              <w:t>Exception list</w:t>
            </w:r>
          </w:p>
        </w:tc>
      </w:tr>
      <w:tr>
        <w:tc>
          <w:tcPr>
            <w:tcW w:type="dxa" w:w="3293"/>
          </w:tcPr>
          <w:p>
            <w:r>
              <w:t>4</w:t>
            </w:r>
          </w:p>
        </w:tc>
        <w:tc>
          <w:tcPr>
            <w:tcW w:type="dxa" w:w="3293"/>
          </w:tcPr>
          <w:p>
            <w:r>
              <w:t>What must change now?</w:t>
            </w:r>
          </w:p>
        </w:tc>
        <w:tc>
          <w:tcPr>
            <w:tcW w:type="dxa" w:w="3293"/>
          </w:tcPr>
          <w:p>
            <w:r>
              <w:t>Decision</w:t>
            </w:r>
          </w:p>
        </w:tc>
      </w:tr>
      <w:tr>
        <w:tc>
          <w:tcPr>
            <w:tcW w:type="dxa" w:w="3293"/>
          </w:tcPr>
          <w:p>
            <w:r>
              <w:t>5</w:t>
            </w:r>
          </w:p>
        </w:tc>
        <w:tc>
          <w:tcPr>
            <w:tcW w:type="dxa" w:w="3293"/>
          </w:tcPr>
          <w:p>
            <w:r>
              <w:t>Who will do what by when?</w:t>
            </w:r>
          </w:p>
        </w:tc>
        <w:tc>
          <w:tcPr>
            <w:tcW w:type="dxa" w:w="3293"/>
          </w:tcPr>
          <w:p>
            <w:r>
              <w:t>Owned action</w:t>
            </w:r>
          </w:p>
        </w:tc>
      </w:tr>
      <w:tr>
        <w:tc>
          <w:tcPr>
            <w:tcW w:type="dxa" w:w="3293"/>
          </w:tcPr>
          <w:p>
            <w:r>
              <w:t>6</w:t>
            </w:r>
          </w:p>
        </w:tc>
        <w:tc>
          <w:tcPr>
            <w:tcW w:type="dxa" w:w="3293"/>
          </w:tcPr>
          <w:p>
            <w:r>
              <w:t>Did it work and what changes?</w:t>
            </w:r>
          </w:p>
        </w:tc>
        <w:tc>
          <w:tcPr>
            <w:tcW w:type="dxa" w:w="3293"/>
          </w:tcPr>
          <w:p>
            <w:r>
              <w:t>Closed evidence / next review</w:t>
            </w:r>
          </w:p>
        </w:tc>
      </w:tr>
    </w:tbl>
    <w:p>
      <w:pPr>
        <w:pStyle w:val="Heading1"/>
        <w:keepNext/>
        <w:spacing w:before="200"/>
      </w:pPr>
      <w:r>
        <w:t>7. Governance &amp; Source Control</w:t>
      </w:r>
    </w:p>
    <w:p>
      <w:pPr>
        <w:pStyle w:val="GravityLabel"/>
      </w:pPr>
      <w:r>
        <w:t>TOOLS: GRV-FS01 through GRV-FS05</w:t>
      </w:r>
    </w:p>
    <w:p>
      <w:r>
        <w:rPr>
          <w:b/>
          <w:color w:val="0B2545"/>
        </w:rPr>
        <w:t>Management questions</w:t>
      </w:r>
    </w:p>
    <w:p>
      <w:pPr>
        <w:pStyle w:val="ListBullet"/>
      </w:pPr>
      <w:r>
        <w:t>Which authority actually governs this location?</w:t>
      </w:r>
    </w:p>
    <w:p>
      <w:pPr>
        <w:pStyle w:val="ListBullet"/>
      </w:pPr>
      <w:r>
        <w:t>Is the adopted code/version documented?</w:t>
      </w:r>
    </w:p>
    <w:p>
      <w:pPr>
        <w:pStyle w:val="ListBullet"/>
      </w:pPr>
      <w:r>
        <w:t>Are person-in-charge and manager coverage responsibilities explicit?</w:t>
      </w:r>
    </w:p>
    <w:p>
      <w:r>
        <w:rPr>
          <w:b/>
          <w:color w:val="B38B2E"/>
        </w:rPr>
        <w:t xml:space="preserve">CONTROL RISK  </w:t>
      </w:r>
      <w:r>
        <w:t>Using the federal model as if it were the local law can create false compliance confidence.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GRV-FS01 | Regulatory Authority &amp; Source Map</w:t>
            </w:r>
          </w:p>
        </w:tc>
        <w:tc>
          <w:tcPr>
            <w:tcW w:type="dxa" w:w="3293"/>
          </w:tcPr>
          <w:p>
            <w:r>
              <w:t>Owner / GM / Food Safety Lead</w:t>
              <w:br/>
              <w:t>At setup and annual review</w:t>
            </w:r>
          </w:p>
        </w:tc>
        <w:tc>
          <w:tcPr>
            <w:tcW w:type="dxa" w:w="3293"/>
          </w:tcPr>
          <w:p>
            <w:r>
              <w:t>Identifies the actual regulatory authority, adopted code/version, permit contacts, inspection source, internal standard owner, and source review dates for the location.</w:t>
            </w:r>
          </w:p>
        </w:tc>
      </w:tr>
      <w:tr>
        <w:tc>
          <w:tcPr>
            <w:tcW w:type="dxa" w:w="3293"/>
          </w:tcPr>
          <w:p>
            <w:r>
              <w:t>GRV-FS02 | Person-in-Charge Responsibility Assignment</w:t>
            </w:r>
          </w:p>
        </w:tc>
        <w:tc>
          <w:tcPr>
            <w:tcW w:type="dxa" w:w="3293"/>
          </w:tcPr>
          <w:p>
            <w:r>
              <w:t>Owner / GM</w:t>
              <w:br/>
              <w:t>At appointment and when roles change</w:t>
            </w:r>
          </w:p>
        </w:tc>
        <w:tc>
          <w:tcPr>
            <w:tcW w:type="dxa" w:w="3293"/>
          </w:tcPr>
          <w:p>
            <w:r>
              <w:t>Defines who is responsible for food-safety oversight by operating period and what authority, escalation, documentation, and backup coverage apply.</w:t>
            </w:r>
          </w:p>
        </w:tc>
      </w:tr>
      <w:tr>
        <w:tc>
          <w:tcPr>
            <w:tcW w:type="dxa" w:w="3293"/>
          </w:tcPr>
          <w:p>
            <w:r>
              <w:t>GRV-FS03 | Food Protection Manager Coverage Plan</w:t>
            </w:r>
          </w:p>
        </w:tc>
        <w:tc>
          <w:tcPr>
            <w:tcW w:type="dxa" w:w="3293"/>
          </w:tcPr>
          <w:p>
            <w:r>
              <w:t>Owner / GM</w:t>
              <w:br/>
              <w:t>At setup and when staffing changes</w:t>
            </w:r>
          </w:p>
        </w:tc>
        <w:tc>
          <w:tcPr>
            <w:tcW w:type="dxa" w:w="3293"/>
          </w:tcPr>
          <w:p>
            <w:r>
              <w:t>Maps certified or otherwise required food-protection coverage to operating hours without assuming one jurisdictional rule applies everywhere.</w:t>
            </w:r>
          </w:p>
        </w:tc>
      </w:tr>
      <w:tr>
        <w:tc>
          <w:tcPr>
            <w:tcW w:type="dxa" w:w="3293"/>
          </w:tcPr>
          <w:p>
            <w:r>
              <w:t>GRV-FS04 | Food Safety Management System Charter</w:t>
            </w:r>
          </w:p>
        </w:tc>
        <w:tc>
          <w:tcPr>
            <w:tcW w:type="dxa" w:w="3293"/>
          </w:tcPr>
          <w:p>
            <w:r>
              <w:t>Owner / GM / Food Safety Lead</w:t>
              <w:br/>
              <w:t>At setup and annual review</w:t>
            </w:r>
          </w:p>
        </w:tc>
        <w:tc>
          <w:tcPr>
            <w:tcW w:type="dxa" w:w="3293"/>
          </w:tcPr>
          <w:p>
            <w:r>
              <w:t>Defines the location food-safety management system, controlled processes, records, review rhythm, responsibilities, and corrective-action path.</w:t>
            </w:r>
          </w:p>
        </w:tc>
      </w:tr>
      <w:tr>
        <w:tc>
          <w:tcPr>
            <w:tcW w:type="dxa" w:w="3293"/>
          </w:tcPr>
          <w:p>
            <w:r>
              <w:t>GRV-FS05 | Inspection Readiness &amp; Authority Contact Record</w:t>
            </w:r>
          </w:p>
        </w:tc>
        <w:tc>
          <w:tcPr>
            <w:tcW w:type="dxa" w:w="3293"/>
          </w:tcPr>
          <w:p>
            <w:r>
              <w:t>GM / Food Safety Lead</w:t>
              <w:br/>
              <w:t>Monthly and before inspection follow-up</w:t>
            </w:r>
          </w:p>
        </w:tc>
        <w:tc>
          <w:tcPr>
            <w:tcW w:type="dxa" w:w="3293"/>
          </w:tcPr>
          <w:p>
            <w:r>
              <w:t>Keeps current permit, authority, contact, inspection, corrective-action, and document-location information in one controlled record.</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8. Employee Health &amp; Personal Hygiene</w:t>
      </w:r>
    </w:p>
    <w:p>
      <w:pPr>
        <w:pStyle w:val="GravityLabel"/>
      </w:pPr>
      <w:r>
        <w:t>TOOLS: GRV-FS06 through GRV-FS10</w:t>
      </w:r>
    </w:p>
    <w:p>
      <w:r>
        <w:rPr>
          <w:b/>
          <w:color w:val="0B2545"/>
        </w:rPr>
        <w:t>Management questions</w:t>
      </w:r>
    </w:p>
    <w:p>
      <w:pPr>
        <w:pStyle w:val="ListBullet"/>
      </w:pPr>
      <w:r>
        <w:t>Do employees know when and how to report illness?</w:t>
      </w:r>
    </w:p>
    <w:p>
      <w:pPr>
        <w:pStyle w:val="ListBullet"/>
      </w:pPr>
      <w:r>
        <w:t>Are handwashing and ready-to-eat controls observed, not merely trained?</w:t>
      </w:r>
    </w:p>
    <w:p>
      <w:pPr>
        <w:pStyle w:val="ListBullet"/>
      </w:pPr>
      <w:r>
        <w:t>Is contamination-event response ready?</w:t>
      </w:r>
    </w:p>
    <w:p>
      <w:r>
        <w:rPr>
          <w:b/>
          <w:color w:val="B38B2E"/>
        </w:rPr>
        <w:t xml:space="preserve">CONTROL RISK  </w:t>
      </w:r>
      <w:r>
        <w:t>Illness and hygiene policies fail when employees fear reporting or managers improvise decisions.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GRV-FS06 | Employee Health Policy Acknowledgment</w:t>
            </w:r>
          </w:p>
        </w:tc>
        <w:tc>
          <w:tcPr>
            <w:tcW w:type="dxa" w:w="3293"/>
          </w:tcPr>
          <w:p>
            <w:r>
              <w:t>Manager / People Owner</w:t>
              <w:br/>
              <w:t>At hire and policy update</w:t>
            </w:r>
          </w:p>
        </w:tc>
        <w:tc>
          <w:tcPr>
            <w:tcW w:type="dxa" w:w="3293"/>
          </w:tcPr>
          <w:p>
            <w:r>
              <w:t>Documents that the employee received and understood the location-approved illness reporting and restriction/exclusion policy.</w:t>
            </w:r>
          </w:p>
        </w:tc>
      </w:tr>
      <w:tr>
        <w:tc>
          <w:tcPr>
            <w:tcW w:type="dxa" w:w="3293"/>
          </w:tcPr>
          <w:p>
            <w:r>
              <w:t>GRV-FS07 | Employee Illness Reporting &amp; Management Decision Record</w:t>
            </w:r>
          </w:p>
        </w:tc>
        <w:tc>
          <w:tcPr>
            <w:tcW w:type="dxa" w:w="3293"/>
          </w:tcPr>
          <w:p>
            <w:r>
              <w:t>Manager / Food Safety Lead</w:t>
              <w:br/>
              <w:t>Per report</w:t>
            </w:r>
          </w:p>
        </w:tc>
        <w:tc>
          <w:tcPr>
            <w:tcW w:type="dxa" w:w="3293"/>
          </w:tcPr>
          <w:p>
            <w:r>
              <w:t>Records reported symptoms/diagnosis information only to the extent permitted and needed, the applicable source, management restriction/exclusion decision, escalation, and return criteria.</w:t>
            </w:r>
          </w:p>
        </w:tc>
      </w:tr>
      <w:tr>
        <w:tc>
          <w:tcPr>
            <w:tcW w:type="dxa" w:w="3293"/>
          </w:tcPr>
          <w:p>
            <w:r>
              <w:t>GRV-FS08 | Handwashing &amp; Personal Hygiene Verification</w:t>
            </w:r>
          </w:p>
        </w:tc>
        <w:tc>
          <w:tcPr>
            <w:tcW w:type="dxa" w:w="3293"/>
          </w:tcPr>
          <w:p>
            <w:r>
              <w:t>Manager / Food Safety Lead</w:t>
              <w:br/>
              <w:t>Daily observation and periodic audit</w:t>
            </w:r>
          </w:p>
        </w:tc>
        <w:tc>
          <w:tcPr>
            <w:tcW w:type="dxa" w:w="3293"/>
          </w:tcPr>
          <w:p>
            <w:r>
              <w:t>Verifies access, supplies, observed practices, barriers, coaching, and corrective action for handwashing and personal hygiene.</w:t>
            </w:r>
          </w:p>
        </w:tc>
      </w:tr>
      <w:tr>
        <w:tc>
          <w:tcPr>
            <w:tcW w:type="dxa" w:w="3293"/>
          </w:tcPr>
          <w:p>
            <w:r>
              <w:t>GRV-FS09 | Ready-to-Eat Food Contact Control Check</w:t>
            </w:r>
          </w:p>
        </w:tc>
        <w:tc>
          <w:tcPr>
            <w:tcW w:type="dxa" w:w="3293"/>
          </w:tcPr>
          <w:p>
            <w:r>
              <w:t>Manager / Food Safety Lead</w:t>
              <w:br/>
              <w:t>Daily and spot checks</w:t>
            </w:r>
          </w:p>
        </w:tc>
        <w:tc>
          <w:tcPr>
            <w:tcW w:type="dxa" w:w="3293"/>
          </w:tcPr>
          <w:p>
            <w:r>
              <w:t>Verifies approved barriers and handling practices for ready-to-eat food and records any observed breakdown and correction.</w:t>
            </w:r>
          </w:p>
        </w:tc>
      </w:tr>
      <w:tr>
        <w:tc>
          <w:tcPr>
            <w:tcW w:type="dxa" w:w="3293"/>
          </w:tcPr>
          <w:p>
            <w:r>
              <w:t>GRV-FS10 | Contamination-Event Response Readiness Verification</w:t>
            </w:r>
          </w:p>
        </w:tc>
        <w:tc>
          <w:tcPr>
            <w:tcW w:type="dxa" w:w="3293"/>
          </w:tcPr>
          <w:p>
            <w:r>
              <w:t>GM / Food Safety Lead</w:t>
              <w:br/>
              <w:t>Monthly and after event</w:t>
            </w:r>
          </w:p>
        </w:tc>
        <w:tc>
          <w:tcPr>
            <w:tcW w:type="dxa" w:w="3293"/>
          </w:tcPr>
          <w:p>
            <w:r>
              <w:t>Confirms the approved response procedure, supplies, restricted area, disposal, disinfection, reporting, and retraining controls are ready.</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9. Time, Temperature &amp; Process Control</w:t>
      </w:r>
    </w:p>
    <w:p>
      <w:pPr>
        <w:pStyle w:val="GravityLabel"/>
      </w:pPr>
      <w:r>
        <w:t>TOOLS: GRV-FS11 through GRV-FS15</w:t>
      </w:r>
    </w:p>
    <w:p>
      <w:r>
        <w:rPr>
          <w:b/>
          <w:color w:val="0B2545"/>
        </w:rPr>
        <w:t>Management questions</w:t>
      </w:r>
    </w:p>
    <w:p>
      <w:pPr>
        <w:pStyle w:val="ListBullet"/>
      </w:pPr>
      <w:r>
        <w:t>Are applicable process limits drawn from the approved local source?</w:t>
      </w:r>
    </w:p>
    <w:p>
      <w:pPr>
        <w:pStyle w:val="ListBullet"/>
      </w:pPr>
      <w:r>
        <w:t>Are receiving, holding, cooling, reheating, and time-control deviations acted on immediately?</w:t>
      </w:r>
    </w:p>
    <w:p>
      <w:pPr>
        <w:pStyle w:val="ListBullet"/>
      </w:pPr>
      <w:r>
        <w:t>Are disposition decisions documented?</w:t>
      </w:r>
    </w:p>
    <w:p>
      <w:r>
        <w:rPr>
          <w:b/>
          <w:color w:val="B38B2E"/>
        </w:rPr>
        <w:t xml:space="preserve">CONTROL RISK  </w:t>
      </w:r>
      <w:r>
        <w:t>Hard-coded limits become dangerous when local rules or processes differ.</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GRV-FS11 | TCS Food Process &amp; Control Map</w:t>
            </w:r>
          </w:p>
        </w:tc>
        <w:tc>
          <w:tcPr>
            <w:tcW w:type="dxa" w:w="3293"/>
          </w:tcPr>
          <w:p>
            <w:r>
              <w:t>Chef / Food Safety Lead</w:t>
              <w:br/>
              <w:t>At setup and menu/process change</w:t>
            </w:r>
          </w:p>
        </w:tc>
        <w:tc>
          <w:tcPr>
            <w:tcW w:type="dxa" w:w="3293"/>
          </w:tcPr>
          <w:p>
            <w:r>
              <w:t>Maps each controlled food process to the applicable receiving, storage, preparation, cooking, cooling, reheating, holding, or time-control requirement source.</w:t>
            </w:r>
          </w:p>
        </w:tc>
      </w:tr>
      <w:tr>
        <w:tc>
          <w:tcPr>
            <w:tcW w:type="dxa" w:w="3293"/>
          </w:tcPr>
          <w:p>
            <w:r>
              <w:t>GRV-FS12 | Receiving Temperature &amp; Condition Verification</w:t>
            </w:r>
          </w:p>
        </w:tc>
        <w:tc>
          <w:tcPr>
            <w:tcW w:type="dxa" w:w="3293"/>
          </w:tcPr>
          <w:p>
            <w:r>
              <w:t>Receiver / Manager</w:t>
              <w:br/>
              <w:t>Each applicable delivery</w:t>
            </w:r>
          </w:p>
        </w:tc>
        <w:tc>
          <w:tcPr>
            <w:tcW w:type="dxa" w:w="3293"/>
          </w:tcPr>
          <w:p>
            <w:r>
              <w:t>Records required receiving checks from the location-approved standard, including condition, temperature where applicable, packaging, date control, and reject/accept decision.</w:t>
            </w:r>
          </w:p>
        </w:tc>
      </w:tr>
      <w:tr>
        <w:tc>
          <w:tcPr>
            <w:tcW w:type="dxa" w:w="3293"/>
          </w:tcPr>
          <w:p>
            <w:r>
              <w:t>GRV-FS13 | Holding Control Monitoring Record</w:t>
            </w:r>
          </w:p>
        </w:tc>
        <w:tc>
          <w:tcPr>
            <w:tcW w:type="dxa" w:w="3293"/>
          </w:tcPr>
          <w:p>
            <w:r>
              <w:t>Manager / Station Owner</w:t>
              <w:br/>
              <w:t>At approved frequency</w:t>
            </w:r>
          </w:p>
        </w:tc>
        <w:tc>
          <w:tcPr>
            <w:tcW w:type="dxa" w:w="3293"/>
          </w:tcPr>
          <w:p>
            <w:r>
              <w:t>Records hot/cold holding or other required controls using the applicable approved threshold and correction rule rather than a hard-coded national assumption.</w:t>
            </w:r>
          </w:p>
        </w:tc>
      </w:tr>
      <w:tr>
        <w:tc>
          <w:tcPr>
            <w:tcW w:type="dxa" w:w="3293"/>
          </w:tcPr>
          <w:p>
            <w:r>
              <w:t>GRV-FS14 | Cooling &amp; Reheating Process Verification</w:t>
            </w:r>
          </w:p>
        </w:tc>
        <w:tc>
          <w:tcPr>
            <w:tcW w:type="dxa" w:w="3293"/>
          </w:tcPr>
          <w:p>
            <w:r>
              <w:t>Kitchen Manager / Food Safety Lead</w:t>
              <w:br/>
              <w:t>Each controlled batch or approved sample plan</w:t>
            </w:r>
          </w:p>
        </w:tc>
        <w:tc>
          <w:tcPr>
            <w:tcW w:type="dxa" w:w="3293"/>
          </w:tcPr>
          <w:p>
            <w:r>
              <w:t>Documents start/end conditions, time/temperature checkpoints, equipment, batch identification, deviation, disposition, and verification against the approved local standard.</w:t>
            </w:r>
          </w:p>
        </w:tc>
      </w:tr>
      <w:tr>
        <w:tc>
          <w:tcPr>
            <w:tcW w:type="dxa" w:w="3293"/>
          </w:tcPr>
          <w:p>
            <w:r>
              <w:t>GRV-FS15 | Approved Time-Control Authorization &amp; Monitoring Log</w:t>
            </w:r>
          </w:p>
        </w:tc>
        <w:tc>
          <w:tcPr>
            <w:tcW w:type="dxa" w:w="3293"/>
          </w:tcPr>
          <w:p>
            <w:r>
              <w:t>GM / Food Safety Lead</w:t>
              <w:br/>
              <w:t>Per approved use</w:t>
            </w:r>
          </w:p>
        </w:tc>
        <w:tc>
          <w:tcPr>
            <w:tcW w:type="dxa" w:w="3293"/>
          </w:tcPr>
          <w:p>
            <w:r>
              <w:t>Documents any approved time-as-a-control procedure, authorization, start time, discard time, labeling, monitoring, and corrective action based on the applicable authority.</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10. Contamination, Allergens &amp; Sanitation</w:t>
      </w:r>
    </w:p>
    <w:p>
      <w:pPr>
        <w:pStyle w:val="GravityLabel"/>
      </w:pPr>
      <w:r>
        <w:t>TOOLS: GRV-FS16 through GRV-FS20</w:t>
      </w:r>
    </w:p>
    <w:p>
      <w:r>
        <w:rPr>
          <w:b/>
          <w:color w:val="0B2545"/>
        </w:rPr>
        <w:t>Management questions</w:t>
      </w:r>
    </w:p>
    <w:p>
      <w:pPr>
        <w:pStyle w:val="ListBullet"/>
      </w:pPr>
      <w:r>
        <w:t>Are raw/RTE separation, allergen communication, food-contact sanitation, warewashing, and chemicals independently verified?</w:t>
      </w:r>
    </w:p>
    <w:p>
      <w:pPr>
        <w:pStyle w:val="ListBullet"/>
      </w:pPr>
      <w:r>
        <w:t>Are recurring sanitation failures visible?</w:t>
      </w:r>
    </w:p>
    <w:p>
      <w:pPr>
        <w:pStyle w:val="ListBullet"/>
      </w:pPr>
      <w:r>
        <w:t>Are equipment or process contributors corrected?</w:t>
      </w:r>
    </w:p>
    <w:p>
      <w:r>
        <w:rPr>
          <w:b/>
          <w:color w:val="B38B2E"/>
        </w:rPr>
        <w:t xml:space="preserve">CONTROL RISK  </w:t>
      </w:r>
      <w:r>
        <w:t>Sanitation records that only show “done” can hide concentration, equipment, or behavior failures.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GRV-FS16 | Raw-to-Ready-to-Eat Separation Audit</w:t>
            </w:r>
          </w:p>
        </w:tc>
        <w:tc>
          <w:tcPr>
            <w:tcW w:type="dxa" w:w="3293"/>
          </w:tcPr>
          <w:p>
            <w:r>
              <w:t>Kitchen Manager</w:t>
              <w:br/>
              <w:t>Daily and weekly audit</w:t>
            </w:r>
          </w:p>
        </w:tc>
        <w:tc>
          <w:tcPr>
            <w:tcW w:type="dxa" w:w="3293"/>
          </w:tcPr>
          <w:p>
            <w:r>
              <w:t>Checks storage, prep, utensils, surfaces, workflow, and employee practices that protect ready-to-eat food from raw animal-product contamination.</w:t>
            </w:r>
          </w:p>
        </w:tc>
      </w:tr>
      <w:tr>
        <w:tc>
          <w:tcPr>
            <w:tcW w:type="dxa" w:w="3293"/>
          </w:tcPr>
          <w:p>
            <w:r>
              <w:t>GRV-FS17 | Allergen Control &amp; Communication Verification</w:t>
            </w:r>
          </w:p>
        </w:tc>
        <w:tc>
          <w:tcPr>
            <w:tcW w:type="dxa" w:w="3293"/>
          </w:tcPr>
          <w:p>
            <w:r>
              <w:t>Manager / Expo / Kitchen Lead</w:t>
              <w:br/>
              <w:t>Per declared allergy and periodic audit</w:t>
            </w:r>
          </w:p>
        </w:tc>
        <w:tc>
          <w:tcPr>
            <w:tcW w:type="dxa" w:w="3293"/>
          </w:tcPr>
          <w:p>
            <w:r>
              <w:t>Verifies the restaurant’s approved allergy communication, ingredient/source check, preparation controls, handoff, service confirmation, and incident escalation.</w:t>
            </w:r>
          </w:p>
        </w:tc>
      </w:tr>
      <w:tr>
        <w:tc>
          <w:tcPr>
            <w:tcW w:type="dxa" w:w="3293"/>
          </w:tcPr>
          <w:p>
            <w:r>
              <w:t>GRV-FS18 | Food-Contact Surface Cleaning &amp; Sanitizing Verification</w:t>
            </w:r>
          </w:p>
        </w:tc>
        <w:tc>
          <w:tcPr>
            <w:tcW w:type="dxa" w:w="3293"/>
          </w:tcPr>
          <w:p>
            <w:r>
              <w:t>Kitchen Manager / Sanitation Lead</w:t>
              <w:br/>
              <w:t>Daily and scheduled audit</w:t>
            </w:r>
          </w:p>
        </w:tc>
        <w:tc>
          <w:tcPr>
            <w:tcW w:type="dxa" w:w="3293"/>
          </w:tcPr>
          <w:p>
            <w:r>
              <w:t>Confirms cleaning and sanitizing frequency, approved chemical/process, concentration or equipment verification where required, and corrective action.</w:t>
            </w:r>
          </w:p>
        </w:tc>
      </w:tr>
      <w:tr>
        <w:tc>
          <w:tcPr>
            <w:tcW w:type="dxa" w:w="3293"/>
          </w:tcPr>
          <w:p>
            <w:r>
              <w:t>GRV-FS19 | Warewashing &amp; Sanitizer Control Record</w:t>
            </w:r>
          </w:p>
        </w:tc>
        <w:tc>
          <w:tcPr>
            <w:tcW w:type="dxa" w:w="3293"/>
          </w:tcPr>
          <w:p>
            <w:r>
              <w:t>Dish / Kitchen Manager</w:t>
              <w:br/>
              <w:t>At approved frequency</w:t>
            </w:r>
          </w:p>
        </w:tc>
        <w:tc>
          <w:tcPr>
            <w:tcW w:type="dxa" w:w="3293"/>
          </w:tcPr>
          <w:p>
            <w:r>
              <w:t>Records warewashing-machine or manual-sink control checks, sanitizer verification, equipment condition, corrective action, and management review.</w:t>
            </w:r>
          </w:p>
        </w:tc>
      </w:tr>
      <w:tr>
        <w:tc>
          <w:tcPr>
            <w:tcW w:type="dxa" w:w="3293"/>
          </w:tcPr>
          <w:p>
            <w:r>
              <w:t>GRV-FS20 | Chemical Storage, Labeling &amp; Use Audit</w:t>
            </w:r>
          </w:p>
        </w:tc>
        <w:tc>
          <w:tcPr>
            <w:tcW w:type="dxa" w:w="3293"/>
          </w:tcPr>
          <w:p>
            <w:r>
              <w:t>Kitchen Manager / Safety Lead</w:t>
              <w:br/>
              <w:t>Weekly</w:t>
            </w:r>
          </w:p>
        </w:tc>
        <w:tc>
          <w:tcPr>
            <w:tcW w:type="dxa" w:w="3293"/>
          </w:tcPr>
          <w:p>
            <w:r>
              <w:t>Verifies chemical identification, storage, labeling, use instructions, separation, secondary containers, access, and correction.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11. Facility, Equipment &amp; Environmental Conditions</w:t>
      </w:r>
    </w:p>
    <w:p>
      <w:pPr>
        <w:pStyle w:val="GravityLabel"/>
      </w:pPr>
      <w:r>
        <w:t>TOOLS: GRV-FS21 through GRV-FS25</w:t>
      </w:r>
    </w:p>
    <w:p>
      <w:r>
        <w:rPr>
          <w:b/>
          <w:color w:val="0B2545"/>
        </w:rPr>
        <w:t>Management questions</w:t>
      </w:r>
    </w:p>
    <w:p>
      <w:pPr>
        <w:pStyle w:val="ListBullet"/>
      </w:pPr>
      <w:r>
        <w:t>Do facility conditions support the food-safety standard?</w:t>
      </w:r>
    </w:p>
    <w:p>
      <w:pPr>
        <w:pStyle w:val="ListBullet"/>
      </w:pPr>
      <w:r>
        <w:t>Are cleaning, pest, water/plumbing, and equipment issues closed with verification?</w:t>
      </w:r>
    </w:p>
    <w:p>
      <w:pPr>
        <w:pStyle w:val="ListBullet"/>
      </w:pPr>
      <w:r>
        <w:t>Are outages routed to continuity controls when needed?</w:t>
      </w:r>
    </w:p>
    <w:p>
      <w:r>
        <w:rPr>
          <w:b/>
          <w:color w:val="B38B2E"/>
        </w:rPr>
        <w:t xml:space="preserve">CONTROL RISK  </w:t>
      </w:r>
      <w:r>
        <w:t>Facility defects can defeat otherwise good food-handling practices.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GRV-FS21 | Facility Sanitation Walk</w:t>
            </w:r>
          </w:p>
        </w:tc>
        <w:tc>
          <w:tcPr>
            <w:tcW w:type="dxa" w:w="3293"/>
          </w:tcPr>
          <w:p>
            <w:r>
              <w:t>Manager / Sanitation Lead</w:t>
              <w:br/>
              <w:t>Daily</w:t>
            </w:r>
          </w:p>
        </w:tc>
        <w:tc>
          <w:tcPr>
            <w:tcW w:type="dxa" w:w="3293"/>
          </w:tcPr>
          <w:p>
            <w:r>
              <w:t>Reviews floors, drains, walls, ceilings, refuse, employee areas, non-food-contact surfaces, hand sinks, restrooms, and other sanitation conditions requiring action.</w:t>
            </w:r>
          </w:p>
        </w:tc>
      </w:tr>
      <w:tr>
        <w:tc>
          <w:tcPr>
            <w:tcW w:type="dxa" w:w="3293"/>
          </w:tcPr>
          <w:p>
            <w:r>
              <w:t>GRV-FS22 | Master Cleaning Schedule &amp; Verification Record</w:t>
            </w:r>
          </w:p>
        </w:tc>
        <w:tc>
          <w:tcPr>
            <w:tcW w:type="dxa" w:w="3293"/>
          </w:tcPr>
          <w:p>
            <w:r>
              <w:t>Sanitation Lead / Department Managers</w:t>
              <w:br/>
              <w:t>Weekly and monthly</w:t>
            </w:r>
          </w:p>
        </w:tc>
        <w:tc>
          <w:tcPr>
            <w:tcW w:type="dxa" w:w="3293"/>
          </w:tcPr>
          <w:p>
            <w:r>
              <w:t>Defines what is cleaned, by whom, how often, by what approved method, and how completion and effectiveness are verified.</w:t>
            </w:r>
          </w:p>
        </w:tc>
      </w:tr>
      <w:tr>
        <w:tc>
          <w:tcPr>
            <w:tcW w:type="dxa" w:w="3293"/>
          </w:tcPr>
          <w:p>
            <w:r>
              <w:t>GRV-FS23 | Pest Evidence &amp; Corrective Action Log</w:t>
            </w:r>
          </w:p>
        </w:tc>
        <w:tc>
          <w:tcPr>
            <w:tcW w:type="dxa" w:w="3293"/>
          </w:tcPr>
          <w:p>
            <w:r>
              <w:t>GM / Facility Owner</w:t>
              <w:br/>
              <w:t>As found; monthly review</w:t>
            </w:r>
          </w:p>
        </w:tc>
        <w:tc>
          <w:tcPr>
            <w:tcW w:type="dxa" w:w="3293"/>
          </w:tcPr>
          <w:p>
            <w:r>
              <w:t>Records evidence, location, date, immediate control, sanitation or structural contributors, vendor escalation, and verification.</w:t>
            </w:r>
          </w:p>
        </w:tc>
      </w:tr>
      <w:tr>
        <w:tc>
          <w:tcPr>
            <w:tcW w:type="dxa" w:w="3293"/>
          </w:tcPr>
          <w:p>
            <w:r>
              <w:t>GRV-FS24 | Water, Ice, Plumbing &amp; Backflow Readiness Review</w:t>
            </w:r>
          </w:p>
        </w:tc>
        <w:tc>
          <w:tcPr>
            <w:tcW w:type="dxa" w:w="3293"/>
          </w:tcPr>
          <w:p>
            <w:r>
              <w:t>GM / Facility Owner</w:t>
              <w:br/>
              <w:t>Monthly and after disruption</w:t>
            </w:r>
          </w:p>
        </w:tc>
        <w:tc>
          <w:tcPr>
            <w:tcW w:type="dxa" w:w="3293"/>
          </w:tcPr>
          <w:p>
            <w:r>
              <w:t>Verifies approved water/ice source, plumbing condition, drainage, cross-connection/backflow controls, interruption response, and service documentation.</w:t>
            </w:r>
          </w:p>
        </w:tc>
      </w:tr>
      <w:tr>
        <w:tc>
          <w:tcPr>
            <w:tcW w:type="dxa" w:w="3293"/>
          </w:tcPr>
          <w:p>
            <w:r>
              <w:t>GRV-FS25 | Equipment Condition &amp; Cleanability Review</w:t>
            </w:r>
          </w:p>
        </w:tc>
        <w:tc>
          <w:tcPr>
            <w:tcW w:type="dxa" w:w="3293"/>
          </w:tcPr>
          <w:p>
            <w:r>
              <w:t>Kitchen Manager / Facility Owner</w:t>
              <w:br/>
              <w:t>Monthly</w:t>
            </w:r>
          </w:p>
        </w:tc>
        <w:tc>
          <w:tcPr>
            <w:tcW w:type="dxa" w:w="3293"/>
          </w:tcPr>
          <w:p>
            <w:r>
              <w:t>Checks food equipment condition, cleanability, seals, surfaces, calibration needs, damage, repair priority, and food-safety impact.</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12. Audit, Incident Review &amp; Renewal</w:t>
      </w:r>
    </w:p>
    <w:p>
      <w:pPr>
        <w:pStyle w:val="GravityLabel"/>
      </w:pPr>
      <w:r>
        <w:t>TOOLS: GRV-FS26 through GRV-FS30</w:t>
      </w:r>
    </w:p>
    <w:p>
      <w:r>
        <w:rPr>
          <w:b/>
          <w:color w:val="0B2545"/>
        </w:rPr>
        <w:t>Management questions</w:t>
      </w:r>
    </w:p>
    <w:p>
      <w:pPr>
        <w:pStyle w:val="ListBullet"/>
      </w:pPr>
      <w:r>
        <w:t>Do internal audits focus on risk factors rather than cosmetic scores?</w:t>
      </w:r>
    </w:p>
    <w:p>
      <w:pPr>
        <w:pStyle w:val="ListBullet"/>
      </w:pPr>
      <w:r>
        <w:t>Are regulatory findings and near misses converted to corrective action?</w:t>
      </w:r>
    </w:p>
    <w:p>
      <w:pPr>
        <w:pStyle w:val="ListBullet"/>
      </w:pPr>
      <w:r>
        <w:t>Does the 90-day plan reduce recurrence?</w:t>
      </w:r>
    </w:p>
    <w:p>
      <w:r>
        <w:rPr>
          <w:b/>
          <w:color w:val="B38B2E"/>
        </w:rPr>
        <w:t xml:space="preserve">CONTROL RISK  </w:t>
      </w:r>
      <w:r>
        <w:t>Inspection findings repeat when they are treated as one-time cleanup tasks.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GRV-FS26 | Food Safety Training &amp; Competency Verification</w:t>
            </w:r>
          </w:p>
        </w:tc>
        <w:tc>
          <w:tcPr>
            <w:tcW w:type="dxa" w:w="3293"/>
          </w:tcPr>
          <w:p>
            <w:r>
              <w:t>Food Safety Lead / Trainer</w:t>
              <w:br/>
              <w:t>At onboarding and recurring review</w:t>
            </w:r>
          </w:p>
        </w:tc>
        <w:tc>
          <w:tcPr>
            <w:tcW w:type="dxa" w:w="3293"/>
          </w:tcPr>
          <w:p>
            <w:r>
              <w:t>Confirms role-specific food-safety learning, observed competency, retraining needs, source version, and certification or qualification evidence where applicable.</w:t>
            </w:r>
          </w:p>
        </w:tc>
      </w:tr>
      <w:tr>
        <w:tc>
          <w:tcPr>
            <w:tcW w:type="dxa" w:w="3293"/>
          </w:tcPr>
          <w:p>
            <w:r>
              <w:t>GRV-FS27 | Internal Food Safety Risk-Factor Audit</w:t>
            </w:r>
          </w:p>
        </w:tc>
        <w:tc>
          <w:tcPr>
            <w:tcW w:type="dxa" w:w="3293"/>
          </w:tcPr>
          <w:p>
            <w:r>
              <w:t>GM / Food Safety Lead</w:t>
              <w:br/>
              <w:t>Monthly or quarterly</w:t>
            </w:r>
          </w:p>
        </w:tc>
        <w:tc>
          <w:tcPr>
            <w:tcW w:type="dxa" w:w="3293"/>
          </w:tcPr>
          <w:p>
            <w:r>
              <w:t>Audits the highest-risk food-safety controls using the location’s approved authority and records pass/fail evidence, severity, and corrective action.</w:t>
            </w:r>
          </w:p>
        </w:tc>
      </w:tr>
      <w:tr>
        <w:tc>
          <w:tcPr>
            <w:tcW w:type="dxa" w:w="3293"/>
          </w:tcPr>
          <w:p>
            <w:r>
              <w:t>GRV-FS28 | Regulatory Inspection Finding &amp; Corrective Action Log</w:t>
            </w:r>
          </w:p>
        </w:tc>
        <w:tc>
          <w:tcPr>
            <w:tcW w:type="dxa" w:w="3293"/>
          </w:tcPr>
          <w:p>
            <w:r>
              <w:t>GM / Food Safety Lead</w:t>
              <w:br/>
              <w:t>Per inspection</w:t>
            </w:r>
          </w:p>
        </w:tc>
        <w:tc>
          <w:tcPr>
            <w:tcW w:type="dxa" w:w="3293"/>
          </w:tcPr>
          <w:p>
            <w:r>
              <w:t>Converts inspection findings into an owned correction, due date, evidence, authority communication, verification, and closure record.</w:t>
            </w:r>
          </w:p>
        </w:tc>
      </w:tr>
      <w:tr>
        <w:tc>
          <w:tcPr>
            <w:tcW w:type="dxa" w:w="3293"/>
          </w:tcPr>
          <w:p>
            <w:r>
              <w:t>GRV-FS29 | Food Safety Incident / Near-Miss Review</w:t>
            </w:r>
          </w:p>
        </w:tc>
        <w:tc>
          <w:tcPr>
            <w:tcW w:type="dxa" w:w="3293"/>
          </w:tcPr>
          <w:p>
            <w:r>
              <w:t>Owner / GM / Food Safety Lead</w:t>
              <w:br/>
              <w:t>Per event</w:t>
            </w:r>
          </w:p>
        </w:tc>
        <w:tc>
          <w:tcPr>
            <w:tcW w:type="dxa" w:w="3293"/>
          </w:tcPr>
          <w:p>
            <w:r>
              <w:t>Records facts, affected process, product disposition, notifications, source requirements, immediate control, root cause, corrective action, and prevention learning.</w:t>
            </w:r>
          </w:p>
        </w:tc>
      </w:tr>
      <w:tr>
        <w:tc>
          <w:tcPr>
            <w:tcW w:type="dxa" w:w="3293"/>
          </w:tcPr>
          <w:p>
            <w:r>
              <w:t>GRV-FS30 | Monthly Food Safety Scorecard &amp; 90-Day Improvement Plan</w:t>
            </w:r>
          </w:p>
        </w:tc>
        <w:tc>
          <w:tcPr>
            <w:tcW w:type="dxa" w:w="3293"/>
          </w:tcPr>
          <w:p>
            <w:r>
              <w:t>Owner / GM / Food Safety Lead</w:t>
              <w:br/>
              <w:t>Monthly and quarterly</w:t>
            </w:r>
          </w:p>
        </w:tc>
        <w:tc>
          <w:tcPr>
            <w:tcW w:type="dxa" w:w="3293"/>
          </w:tcPr>
          <w:p>
            <w:r>
              <w:t>Combines audit results, deviations, inspection findings, sanitation completion, training, incidents, and open actions into the next 90-day food-safety plan.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13. Digital Control Center</w:t>
      </w:r>
    </w:p>
    <w:p>
      <w:r>
        <w:t>The workbook is the live management control center. It should summarize approved source data and active decisions; it should not become a shadow POS, payroll system, accounting ledger, health-department record, or personnel file.</w:t>
      </w:r>
    </w:p>
    <w:p>
      <w:r>
        <w:t>Editable input cells are intentionally separated from formula and control cells. Managers should resolve failed checks before interpreting dashboard results.</w:t>
      </w:r>
    </w:p>
    <w:p>
      <w:r>
        <w:t>The dashboard is designed to answer five questions: What changed? Where is the largest exposure? Which control failed? Who owns the correction? Has the result been verified?</w:t>
      </w:r>
    </w:p>
    <w:p>
      <w:pPr>
        <w:pStyle w:val="Heading1"/>
        <w:keepNext/>
        <w:spacing w:before="200"/>
      </w:pPr>
      <w:r>
        <w:t>14. Forms, Record Handling and Version Control</w:t>
      </w:r>
    </w:p>
    <w:p>
      <w:pPr>
        <w:pStyle w:val="ListBullet"/>
      </w:pPr>
      <w:r>
        <w:t>Use the editable DOCX forms only for controlled customization. Preserve the official tool ID and system meaning.</w:t>
      </w:r>
    </w:p>
    <w:p>
      <w:pPr>
        <w:pStyle w:val="ListBullet"/>
      </w:pPr>
      <w:r>
        <w:t>Use the fixed PDF forms for normal printing and blank-field distribution.</w:t>
      </w:r>
    </w:p>
    <w:p>
      <w:pPr>
        <w:pStyle w:val="ListBullet"/>
      </w:pPr>
      <w:r>
        <w:t>File completed records in one named location by period or subject so review evidence can be found without searching personal folders.</w:t>
      </w:r>
    </w:p>
    <w:p>
      <w:pPr>
        <w:pStyle w:val="ListBullet"/>
      </w:pPr>
      <w:r>
        <w:t>Archive replaced versions and clearly identify the effective version. Do not keep several unlabeled “final” copies in active use.</w:t>
      </w:r>
    </w:p>
    <w:p>
      <w:pPr>
        <w:pStyle w:val="ListBullet"/>
      </w:pPr>
      <w:r>
        <w:t>Restrict sensitive records to the minimum people who need them and follow applicable privacy, employment, health, and records rules.</w:t>
      </w:r>
    </w:p>
    <w:p>
      <w:pPr>
        <w:pStyle w:val="Heading1"/>
        <w:keepNext/>
        <w:spacing w:before="200"/>
      </w:pPr>
      <w:r>
        <w:t>15. Management Review Rhythm</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Rhythm</w:t>
            </w:r>
          </w:p>
        </w:tc>
        <w:tc>
          <w:tcPr>
            <w:tcW w:type="dxa" w:w="4939"/>
            <w:shd w:fill="0B2545"/>
          </w:tcPr>
          <w:p>
            <w:r>
              <w:rPr>
                <w:b/>
                <w:color w:val="FFFFFF"/>
              </w:rPr>
              <w:t>Required management use</w:t>
            </w:r>
          </w:p>
        </w:tc>
      </w:tr>
      <w:tr>
        <w:tc>
          <w:tcPr>
            <w:tcW w:type="dxa" w:w="4939"/>
          </w:tcPr>
          <w:p>
            <w:r>
              <w:t>Shift / event</w:t>
            </w:r>
          </w:p>
        </w:tc>
        <w:tc>
          <w:tcPr>
            <w:tcW w:type="dxa" w:w="4939"/>
          </w:tcPr>
          <w:p>
            <w:r>
              <w:t>Complete event-based records, correct immediate failures, escalate safety/legal/authority issues.</w:t>
            </w:r>
          </w:p>
        </w:tc>
      </w:tr>
      <w:tr>
        <w:tc>
          <w:tcPr>
            <w:tcW w:type="dxa" w:w="4939"/>
          </w:tcPr>
          <w:p>
            <w:r>
              <w:t>Daily</w:t>
            </w:r>
          </w:p>
        </w:tc>
        <w:tc>
          <w:tcPr>
            <w:tcW w:type="dxa" w:w="4939"/>
          </w:tcPr>
          <w:p>
            <w:r>
              <w:t>Check required logs, exceptions, unresolved actions, and handoff items.</w:t>
            </w:r>
          </w:p>
        </w:tc>
      </w:tr>
      <w:tr>
        <w:tc>
          <w:tcPr>
            <w:tcW w:type="dxa" w:w="4939"/>
          </w:tcPr>
          <w:p>
            <w:r>
              <w:t>Weekly</w:t>
            </w:r>
          </w:p>
        </w:tc>
        <w:tc>
          <w:tcPr>
            <w:tcW w:type="dxa" w:w="4939"/>
          </w:tcPr>
          <w:p>
            <w:r>
              <w:t>Review patterns, key variances, open actions, overdue items, and one to three priority corrections.</w:t>
            </w:r>
          </w:p>
        </w:tc>
      </w:tr>
      <w:tr>
        <w:tc>
          <w:tcPr>
            <w:tcW w:type="dxa" w:w="4939"/>
          </w:tcPr>
          <w:p>
            <w:r>
              <w:t>Monthly</w:t>
            </w:r>
          </w:p>
        </w:tc>
        <w:tc>
          <w:tcPr>
            <w:tcW w:type="dxa" w:w="4939"/>
          </w:tcPr>
          <w:p>
            <w:r>
              <w:t>Review system scorecard, source quality, recurring causes, training needs, and cross-system effects.</w:t>
            </w:r>
          </w:p>
        </w:tc>
      </w:tr>
      <w:tr>
        <w:tc>
          <w:tcPr>
            <w:tcW w:type="dxa" w:w="4939"/>
          </w:tcPr>
          <w:p>
            <w:r>
              <w:t>Quarterly / 90 days</w:t>
            </w:r>
          </w:p>
        </w:tc>
        <w:tc>
          <w:tcPr>
            <w:tcW w:type="dxa" w:w="4939"/>
          </w:tcPr>
          <w:p>
            <w:r>
              <w:t>Retest priorities, update pars/targets/coverage/standards as applicable, close stale actions, and approve the next improvement plan.</w:t>
            </w:r>
          </w:p>
        </w:tc>
      </w:tr>
      <w:tr>
        <w:tc>
          <w:tcPr>
            <w:tcW w:type="dxa" w:w="4939"/>
          </w:tcPr>
          <w:p>
            <w:r>
              <w:t>Annual / major change</w:t>
            </w:r>
          </w:p>
        </w:tc>
        <w:tc>
          <w:tcPr>
            <w:tcW w:type="dxa" w:w="4939"/>
          </w:tcPr>
          <w:p>
            <w:r>
              <w:t>Reconfirm source authority, ownership, system boundaries, document versions, major assumptions, and required qualified review.</w:t>
            </w:r>
          </w:p>
        </w:tc>
      </w:tr>
    </w:tbl>
    <w:p>
      <w:pPr>
        <w:pStyle w:val="Heading1"/>
        <w:keepNext/>
        <w:spacing w:before="200"/>
      </w:pPr>
      <w:r>
        <w:t>16. Installation Paths — 30-Day Accelerated or 60-Day Guided</w:t>
      </w:r>
    </w:p>
    <w:p>
      <w:pPr>
        <w:pStyle w:val="Heading2"/>
      </w:pPr>
      <w:r>
        <w:t>30-Day Accelerated | Days 1–5 Measure + Define; Days 6–10 Train + Pilot; Days 11–20 Execute; Days 21–27 Stress-Test; Days 28–30 Verify + Decide.</w:t>
      </w:r>
    </w:p>
    <w:p>
      <w:r>
        <w:t>Startup rule: choose one real pressure point, assign one accountable owner, and launch only 3–5 tools initially. Add tools only after the first controls are being used and reviewed reliably.</w:t>
      </w:r>
    </w:p>
    <w:p>
      <w:pPr>
        <w:pStyle w:val="Heading2"/>
      </w:pPr>
      <w:r>
        <w:t>60-Day Guided | Days 1–10 Learn + Measure; Days 11–20 Define + Prepare; Days 21–30 Train + Practice; Day 30 midpoint gate.</w:t>
      </w:r>
    </w:p>
    <w:p>
      <w:r>
        <w:t>Days 31–46 Guided Execution; Days 47–54 Stress-Test; Days 55–60 Verify + Hold; Day 60 final decision.</w:t>
      </w:r>
    </w:p>
    <w:p>
      <w:pPr>
        <w:pStyle w:val="Heading2"/>
      </w:pPr>
      <w:r>
        <w:t>Corrective closure status: OPEN → ASSIGNED → CORRECTION IN PROGRESS → CORRECTED → VERIFIED CLOSED.</w:t>
      </w:r>
    </w:p>
    <w:p>
      <w:r>
        <w:t>A problem is not closed because someone said it was handled. It is closed when the correction has been verified. Freeze the approved Release 1.1 local configuration after the final decision gate; preserve any separate 90-day improvement tools for their intended improvement purpose.</w:t>
      </w:r>
    </w:p>
    <w:p>
      <w:pPr>
        <w:pStyle w:val="Heading1"/>
        <w:keepNext/>
        <w:spacing w:before="200"/>
      </w:pPr>
      <w:r>
        <w:t>17. Complete Tool Directory</w:t>
      </w:r>
    </w:p>
    <w:tbl>
      <w:tblPr>
        <w:tblStyle w:val="TableGrid"/>
        <w:tblW w:type="auto" w:w="0"/>
        <w:tblLook w:firstColumn="1" w:firstRow="1" w:lastColumn="0" w:lastRow="0" w:noHBand="0" w:noVBand="1" w:val="04A0"/>
      </w:tblPr>
      <w:tblGrid>
        <w:gridCol w:w="2469"/>
        <w:gridCol w:w="2469"/>
        <w:gridCol w:w="2469"/>
        <w:gridCol w:w="2469"/>
      </w:tblGrid>
      <w:tr>
        <w:trPr>
          <w:tblHeader w:val="true"/>
        </w:trPr>
        <w:tc>
          <w:tcPr>
            <w:tcW w:type="dxa" w:w="2469"/>
            <w:shd w:fill="0B2545"/>
          </w:tcPr>
          <w:p>
            <w:r>
              <w:rPr>
                <w:b/>
                <w:color w:val="FFFFFF"/>
              </w:rPr>
              <w:t>ID / Tool</w:t>
            </w:r>
          </w:p>
        </w:tc>
        <w:tc>
          <w:tcPr>
            <w:tcW w:type="dxa" w:w="2469"/>
            <w:shd w:fill="0B2545"/>
          </w:tcPr>
          <w:p>
            <w:r>
              <w:rPr>
                <w:b/>
                <w:color w:val="FFFFFF"/>
              </w:rPr>
              <w:t>Owner</w:t>
            </w:r>
          </w:p>
        </w:tc>
        <w:tc>
          <w:tcPr>
            <w:tcW w:type="dxa" w:w="2469"/>
            <w:shd w:fill="0B2545"/>
          </w:tcPr>
          <w:p>
            <w:r>
              <w:rPr>
                <w:b/>
                <w:color w:val="FFFFFF"/>
              </w:rPr>
              <w:t>Frequency</w:t>
            </w:r>
          </w:p>
        </w:tc>
        <w:tc>
          <w:tcPr>
            <w:tcW w:type="dxa" w:w="2469"/>
            <w:shd w:fill="0B2545"/>
          </w:tcPr>
          <w:p>
            <w:r>
              <w:rPr>
                <w:b/>
                <w:color w:val="FFFFFF"/>
              </w:rPr>
              <w:t>Purpose</w:t>
            </w:r>
          </w:p>
        </w:tc>
      </w:tr>
      <w:tr>
        <w:tc>
          <w:tcPr>
            <w:tcW w:type="dxa" w:w="2469"/>
            <w:tcMar>
              <w:top w:w="45" w:type="dxa"/>
              <w:start w:w="100" w:type="dxa"/>
              <w:bottom w:w="45" w:type="dxa"/>
              <w:end w:w="100" w:type="dxa"/>
            </w:tcMar>
          </w:tcPr>
          <w:p>
            <w:r>
              <w:t>GRV-FS01</w:t>
              <w:br/>
              <w:t>Regulatory Authority &amp; Source Map</w:t>
            </w:r>
          </w:p>
        </w:tc>
        <w:tc>
          <w:tcPr>
            <w:tcW w:type="dxa" w:w="2469"/>
            <w:tcMar>
              <w:top w:w="45" w:type="dxa"/>
              <w:start w:w="100" w:type="dxa"/>
              <w:bottom w:w="45" w:type="dxa"/>
              <w:end w:w="100" w:type="dxa"/>
            </w:tcMar>
          </w:tcPr>
          <w:p>
            <w:r>
              <w:t>Owner / GM / Food Safety Lead</w:t>
            </w:r>
          </w:p>
        </w:tc>
        <w:tc>
          <w:tcPr>
            <w:tcW w:type="dxa" w:w="2469"/>
            <w:tcMar>
              <w:top w:w="45" w:type="dxa"/>
              <w:start w:w="100" w:type="dxa"/>
              <w:bottom w:w="45" w:type="dxa"/>
              <w:end w:w="100" w:type="dxa"/>
            </w:tcMar>
          </w:tcPr>
          <w:p>
            <w:r>
              <w:t>At setup and annual review</w:t>
            </w:r>
          </w:p>
        </w:tc>
        <w:tc>
          <w:tcPr>
            <w:tcW w:type="dxa" w:w="2469"/>
            <w:tcMar>
              <w:top w:w="45" w:type="dxa"/>
              <w:start w:w="100" w:type="dxa"/>
              <w:bottom w:w="45" w:type="dxa"/>
              <w:end w:w="100" w:type="dxa"/>
            </w:tcMar>
          </w:tcPr>
          <w:p>
            <w:r>
              <w:t>Identifies the actual regulatory authority, adopted code/version, permit contacts, inspection source, internal standard owner, and source review dates for the location.</w:t>
            </w:r>
          </w:p>
        </w:tc>
      </w:tr>
      <w:tr>
        <w:tc>
          <w:tcPr>
            <w:tcW w:type="dxa" w:w="2469"/>
            <w:tcMar>
              <w:top w:w="45" w:type="dxa"/>
              <w:start w:w="100" w:type="dxa"/>
              <w:bottom w:w="45" w:type="dxa"/>
              <w:end w:w="100" w:type="dxa"/>
            </w:tcMar>
          </w:tcPr>
          <w:p>
            <w:r>
              <w:t>GRV-FS02</w:t>
              <w:br/>
              <w:t>Person-in-Charge Responsibility Assignment</w:t>
            </w:r>
          </w:p>
        </w:tc>
        <w:tc>
          <w:tcPr>
            <w:tcW w:type="dxa" w:w="2469"/>
            <w:tcMar>
              <w:top w:w="45" w:type="dxa"/>
              <w:start w:w="100" w:type="dxa"/>
              <w:bottom w:w="45" w:type="dxa"/>
              <w:end w:w="100" w:type="dxa"/>
            </w:tcMar>
          </w:tcPr>
          <w:p>
            <w:r>
              <w:t>Owner / GM</w:t>
            </w:r>
          </w:p>
        </w:tc>
        <w:tc>
          <w:tcPr>
            <w:tcW w:type="dxa" w:w="2469"/>
            <w:tcMar>
              <w:top w:w="45" w:type="dxa"/>
              <w:start w:w="100" w:type="dxa"/>
              <w:bottom w:w="45" w:type="dxa"/>
              <w:end w:w="100" w:type="dxa"/>
            </w:tcMar>
          </w:tcPr>
          <w:p>
            <w:r>
              <w:t>At appointment and when roles change</w:t>
            </w:r>
          </w:p>
        </w:tc>
        <w:tc>
          <w:tcPr>
            <w:tcW w:type="dxa" w:w="2469"/>
            <w:tcMar>
              <w:top w:w="45" w:type="dxa"/>
              <w:start w:w="100" w:type="dxa"/>
              <w:bottom w:w="45" w:type="dxa"/>
              <w:end w:w="100" w:type="dxa"/>
            </w:tcMar>
          </w:tcPr>
          <w:p>
            <w:r>
              <w:t>Defines who is responsible for food-safety oversight by operating period and what authority, escalation, documentation, and backup coverage apply.</w:t>
            </w:r>
          </w:p>
        </w:tc>
      </w:tr>
      <w:tr>
        <w:tc>
          <w:tcPr>
            <w:tcW w:type="dxa" w:w="2469"/>
            <w:tcMar>
              <w:top w:w="45" w:type="dxa"/>
              <w:start w:w="100" w:type="dxa"/>
              <w:bottom w:w="45" w:type="dxa"/>
              <w:end w:w="100" w:type="dxa"/>
            </w:tcMar>
          </w:tcPr>
          <w:p>
            <w:r>
              <w:t>GRV-FS03</w:t>
              <w:br/>
              <w:t>Food Protection Manager Coverage Plan</w:t>
            </w:r>
          </w:p>
        </w:tc>
        <w:tc>
          <w:tcPr>
            <w:tcW w:type="dxa" w:w="2469"/>
            <w:tcMar>
              <w:top w:w="45" w:type="dxa"/>
              <w:start w:w="100" w:type="dxa"/>
              <w:bottom w:w="45" w:type="dxa"/>
              <w:end w:w="100" w:type="dxa"/>
            </w:tcMar>
          </w:tcPr>
          <w:p>
            <w:r>
              <w:t>Owner / GM</w:t>
            </w:r>
          </w:p>
        </w:tc>
        <w:tc>
          <w:tcPr>
            <w:tcW w:type="dxa" w:w="2469"/>
            <w:tcMar>
              <w:top w:w="45" w:type="dxa"/>
              <w:start w:w="100" w:type="dxa"/>
              <w:bottom w:w="45" w:type="dxa"/>
              <w:end w:w="100" w:type="dxa"/>
            </w:tcMar>
          </w:tcPr>
          <w:p>
            <w:r>
              <w:t>At setup and when staffing changes</w:t>
            </w:r>
          </w:p>
        </w:tc>
        <w:tc>
          <w:tcPr>
            <w:tcW w:type="dxa" w:w="2469"/>
            <w:tcMar>
              <w:top w:w="45" w:type="dxa"/>
              <w:start w:w="100" w:type="dxa"/>
              <w:bottom w:w="45" w:type="dxa"/>
              <w:end w:w="100" w:type="dxa"/>
            </w:tcMar>
          </w:tcPr>
          <w:p>
            <w:r>
              <w:t>Maps certified or otherwise required food-protection coverage to operating hours without assuming one jurisdictional rule applies everywhere.</w:t>
            </w:r>
          </w:p>
        </w:tc>
      </w:tr>
      <w:tr>
        <w:tc>
          <w:tcPr>
            <w:tcW w:type="dxa" w:w="2469"/>
            <w:tcMar>
              <w:top w:w="45" w:type="dxa"/>
              <w:start w:w="100" w:type="dxa"/>
              <w:bottom w:w="45" w:type="dxa"/>
              <w:end w:w="100" w:type="dxa"/>
            </w:tcMar>
          </w:tcPr>
          <w:p>
            <w:r>
              <w:t>GRV-FS04</w:t>
              <w:br/>
              <w:t>Food Safety Management System Charter</w:t>
            </w:r>
          </w:p>
        </w:tc>
        <w:tc>
          <w:tcPr>
            <w:tcW w:type="dxa" w:w="2469"/>
            <w:tcMar>
              <w:top w:w="45" w:type="dxa"/>
              <w:start w:w="100" w:type="dxa"/>
              <w:bottom w:w="45" w:type="dxa"/>
              <w:end w:w="100" w:type="dxa"/>
            </w:tcMar>
          </w:tcPr>
          <w:p>
            <w:r>
              <w:t>Owner / GM / Food Safety Lead</w:t>
            </w:r>
          </w:p>
        </w:tc>
        <w:tc>
          <w:tcPr>
            <w:tcW w:type="dxa" w:w="2469"/>
            <w:tcMar>
              <w:top w:w="45" w:type="dxa"/>
              <w:start w:w="100" w:type="dxa"/>
              <w:bottom w:w="45" w:type="dxa"/>
              <w:end w:w="100" w:type="dxa"/>
            </w:tcMar>
          </w:tcPr>
          <w:p>
            <w:r>
              <w:t>At setup and annual review</w:t>
            </w:r>
          </w:p>
        </w:tc>
        <w:tc>
          <w:tcPr>
            <w:tcW w:type="dxa" w:w="2469"/>
            <w:tcMar>
              <w:top w:w="45" w:type="dxa"/>
              <w:start w:w="100" w:type="dxa"/>
              <w:bottom w:w="45" w:type="dxa"/>
              <w:end w:w="100" w:type="dxa"/>
            </w:tcMar>
          </w:tcPr>
          <w:p>
            <w:r>
              <w:t>Defines the location food-safety management system, controlled processes, records, review rhythm, responsibilities, and corrective-action path.</w:t>
            </w:r>
          </w:p>
        </w:tc>
      </w:tr>
      <w:tr>
        <w:tc>
          <w:tcPr>
            <w:tcW w:type="dxa" w:w="2469"/>
            <w:tcMar>
              <w:top w:w="45" w:type="dxa"/>
              <w:start w:w="100" w:type="dxa"/>
              <w:bottom w:w="45" w:type="dxa"/>
              <w:end w:w="100" w:type="dxa"/>
            </w:tcMar>
          </w:tcPr>
          <w:p>
            <w:r>
              <w:t>GRV-FS05</w:t>
              <w:br/>
              <w:t>Inspection Readiness &amp; Authority Contact Record</w:t>
            </w:r>
          </w:p>
        </w:tc>
        <w:tc>
          <w:tcPr>
            <w:tcW w:type="dxa" w:w="2469"/>
            <w:tcMar>
              <w:top w:w="45" w:type="dxa"/>
              <w:start w:w="100" w:type="dxa"/>
              <w:bottom w:w="45" w:type="dxa"/>
              <w:end w:w="100" w:type="dxa"/>
            </w:tcMar>
          </w:tcPr>
          <w:p>
            <w:r>
              <w:t>GM / Food Safety Lead</w:t>
            </w:r>
          </w:p>
        </w:tc>
        <w:tc>
          <w:tcPr>
            <w:tcW w:type="dxa" w:w="2469"/>
            <w:tcMar>
              <w:top w:w="45" w:type="dxa"/>
              <w:start w:w="100" w:type="dxa"/>
              <w:bottom w:w="45" w:type="dxa"/>
              <w:end w:w="100" w:type="dxa"/>
            </w:tcMar>
          </w:tcPr>
          <w:p>
            <w:r>
              <w:t>Monthly and before inspection follow-up</w:t>
            </w:r>
          </w:p>
        </w:tc>
        <w:tc>
          <w:tcPr>
            <w:tcW w:type="dxa" w:w="2469"/>
            <w:tcMar>
              <w:top w:w="45" w:type="dxa"/>
              <w:start w:w="100" w:type="dxa"/>
              <w:bottom w:w="45" w:type="dxa"/>
              <w:end w:w="100" w:type="dxa"/>
            </w:tcMar>
          </w:tcPr>
          <w:p>
            <w:r>
              <w:t>Keeps current permit, authority, contact, inspection, corrective-action, and document-location information in one controlled record.</w:t>
            </w:r>
          </w:p>
        </w:tc>
      </w:tr>
      <w:tr>
        <w:tc>
          <w:tcPr>
            <w:tcW w:type="dxa" w:w="2469"/>
            <w:tcMar>
              <w:top w:w="45" w:type="dxa"/>
              <w:start w:w="100" w:type="dxa"/>
              <w:bottom w:w="45" w:type="dxa"/>
              <w:end w:w="100" w:type="dxa"/>
            </w:tcMar>
          </w:tcPr>
          <w:p>
            <w:r>
              <w:t>GRV-FS06</w:t>
              <w:br/>
              <w:t>Employee Health Policy Acknowledgment</w:t>
            </w:r>
          </w:p>
        </w:tc>
        <w:tc>
          <w:tcPr>
            <w:tcW w:type="dxa" w:w="2469"/>
            <w:tcMar>
              <w:top w:w="45" w:type="dxa"/>
              <w:start w:w="100" w:type="dxa"/>
              <w:bottom w:w="45" w:type="dxa"/>
              <w:end w:w="100" w:type="dxa"/>
            </w:tcMar>
          </w:tcPr>
          <w:p>
            <w:r>
              <w:t>Manager / People Owner</w:t>
            </w:r>
          </w:p>
        </w:tc>
        <w:tc>
          <w:tcPr>
            <w:tcW w:type="dxa" w:w="2469"/>
            <w:tcMar>
              <w:top w:w="45" w:type="dxa"/>
              <w:start w:w="100" w:type="dxa"/>
              <w:bottom w:w="45" w:type="dxa"/>
              <w:end w:w="100" w:type="dxa"/>
            </w:tcMar>
          </w:tcPr>
          <w:p>
            <w:r>
              <w:t>At hire and policy update</w:t>
            </w:r>
          </w:p>
        </w:tc>
        <w:tc>
          <w:tcPr>
            <w:tcW w:type="dxa" w:w="2469"/>
            <w:tcMar>
              <w:top w:w="45" w:type="dxa"/>
              <w:start w:w="100" w:type="dxa"/>
              <w:bottom w:w="45" w:type="dxa"/>
              <w:end w:w="100" w:type="dxa"/>
            </w:tcMar>
          </w:tcPr>
          <w:p>
            <w:r>
              <w:t>Documents that the employee received and understood the location-approved illness reporting and restriction/exclusion policy.</w:t>
            </w:r>
          </w:p>
        </w:tc>
      </w:tr>
      <w:tr>
        <w:tc>
          <w:tcPr>
            <w:tcW w:type="dxa" w:w="2469"/>
            <w:tcMar>
              <w:top w:w="45" w:type="dxa"/>
              <w:start w:w="100" w:type="dxa"/>
              <w:bottom w:w="45" w:type="dxa"/>
              <w:end w:w="100" w:type="dxa"/>
            </w:tcMar>
          </w:tcPr>
          <w:p>
            <w:r>
              <w:t>GRV-FS07</w:t>
              <w:br/>
              <w:t>Employee Illness Reporting &amp; Management Decision Record</w:t>
            </w:r>
          </w:p>
        </w:tc>
        <w:tc>
          <w:tcPr>
            <w:tcW w:type="dxa" w:w="2469"/>
            <w:tcMar>
              <w:top w:w="45" w:type="dxa"/>
              <w:start w:w="100" w:type="dxa"/>
              <w:bottom w:w="45" w:type="dxa"/>
              <w:end w:w="100" w:type="dxa"/>
            </w:tcMar>
          </w:tcPr>
          <w:p>
            <w:r>
              <w:t>Manager / Food Safety Lead</w:t>
            </w:r>
          </w:p>
        </w:tc>
        <w:tc>
          <w:tcPr>
            <w:tcW w:type="dxa" w:w="2469"/>
            <w:tcMar>
              <w:top w:w="45" w:type="dxa"/>
              <w:start w:w="100" w:type="dxa"/>
              <w:bottom w:w="45" w:type="dxa"/>
              <w:end w:w="100" w:type="dxa"/>
            </w:tcMar>
          </w:tcPr>
          <w:p>
            <w:r>
              <w:t>Per report</w:t>
            </w:r>
          </w:p>
        </w:tc>
        <w:tc>
          <w:tcPr>
            <w:tcW w:type="dxa" w:w="2469"/>
            <w:tcMar>
              <w:top w:w="45" w:type="dxa"/>
              <w:start w:w="100" w:type="dxa"/>
              <w:bottom w:w="45" w:type="dxa"/>
              <w:end w:w="100" w:type="dxa"/>
            </w:tcMar>
          </w:tcPr>
          <w:p>
            <w:r>
              <w:t>Records reported symptoms/diagnosis information only to the extent permitted and needed, the applicable source, management restriction/exclusion decision, escalation, and return criteria.</w:t>
            </w:r>
          </w:p>
        </w:tc>
      </w:tr>
      <w:tr>
        <w:tc>
          <w:tcPr>
            <w:tcW w:type="dxa" w:w="2469"/>
            <w:tcMar>
              <w:top w:w="45" w:type="dxa"/>
              <w:start w:w="100" w:type="dxa"/>
              <w:bottom w:w="45" w:type="dxa"/>
              <w:end w:w="100" w:type="dxa"/>
            </w:tcMar>
          </w:tcPr>
          <w:p>
            <w:r>
              <w:t>GRV-FS08</w:t>
              <w:br/>
              <w:t>Handwashing &amp; Personal Hygiene Verification</w:t>
            </w:r>
          </w:p>
        </w:tc>
        <w:tc>
          <w:tcPr>
            <w:tcW w:type="dxa" w:w="2469"/>
            <w:tcMar>
              <w:top w:w="45" w:type="dxa"/>
              <w:start w:w="100" w:type="dxa"/>
              <w:bottom w:w="45" w:type="dxa"/>
              <w:end w:w="100" w:type="dxa"/>
            </w:tcMar>
          </w:tcPr>
          <w:p>
            <w:r>
              <w:t>Manager / Food Safety Lead</w:t>
            </w:r>
          </w:p>
        </w:tc>
        <w:tc>
          <w:tcPr>
            <w:tcW w:type="dxa" w:w="2469"/>
            <w:tcMar>
              <w:top w:w="45" w:type="dxa"/>
              <w:start w:w="100" w:type="dxa"/>
              <w:bottom w:w="45" w:type="dxa"/>
              <w:end w:w="100" w:type="dxa"/>
            </w:tcMar>
          </w:tcPr>
          <w:p>
            <w:r>
              <w:t>Daily observation and periodic audit</w:t>
            </w:r>
          </w:p>
        </w:tc>
        <w:tc>
          <w:tcPr>
            <w:tcW w:type="dxa" w:w="2469"/>
            <w:tcMar>
              <w:top w:w="45" w:type="dxa"/>
              <w:start w:w="100" w:type="dxa"/>
              <w:bottom w:w="45" w:type="dxa"/>
              <w:end w:w="100" w:type="dxa"/>
            </w:tcMar>
          </w:tcPr>
          <w:p>
            <w:r>
              <w:t>Verifies access, supplies, observed practices, barriers, coaching, and corrective action for handwashing and personal hygiene.</w:t>
            </w:r>
          </w:p>
        </w:tc>
      </w:tr>
      <w:tr>
        <w:tc>
          <w:tcPr>
            <w:tcW w:type="dxa" w:w="2469"/>
            <w:tcMar>
              <w:top w:w="45" w:type="dxa"/>
              <w:start w:w="100" w:type="dxa"/>
              <w:bottom w:w="45" w:type="dxa"/>
              <w:end w:w="100" w:type="dxa"/>
            </w:tcMar>
          </w:tcPr>
          <w:p>
            <w:r>
              <w:t>GRV-FS09</w:t>
              <w:br/>
              <w:t>Ready-to-Eat Food Contact Control Check</w:t>
            </w:r>
          </w:p>
        </w:tc>
        <w:tc>
          <w:tcPr>
            <w:tcW w:type="dxa" w:w="2469"/>
            <w:tcMar>
              <w:top w:w="45" w:type="dxa"/>
              <w:start w:w="100" w:type="dxa"/>
              <w:bottom w:w="45" w:type="dxa"/>
              <w:end w:w="100" w:type="dxa"/>
            </w:tcMar>
          </w:tcPr>
          <w:p>
            <w:r>
              <w:t>Manager / Food Safety Lead</w:t>
            </w:r>
          </w:p>
        </w:tc>
        <w:tc>
          <w:tcPr>
            <w:tcW w:type="dxa" w:w="2469"/>
            <w:tcMar>
              <w:top w:w="45" w:type="dxa"/>
              <w:start w:w="100" w:type="dxa"/>
              <w:bottom w:w="45" w:type="dxa"/>
              <w:end w:w="100" w:type="dxa"/>
            </w:tcMar>
          </w:tcPr>
          <w:p>
            <w:r>
              <w:t>Daily and spot checks</w:t>
            </w:r>
          </w:p>
        </w:tc>
        <w:tc>
          <w:tcPr>
            <w:tcW w:type="dxa" w:w="2469"/>
            <w:tcMar>
              <w:top w:w="45" w:type="dxa"/>
              <w:start w:w="100" w:type="dxa"/>
              <w:bottom w:w="45" w:type="dxa"/>
              <w:end w:w="100" w:type="dxa"/>
            </w:tcMar>
          </w:tcPr>
          <w:p>
            <w:r>
              <w:t>Verifies approved barriers and handling practices for ready-to-eat food and records any observed breakdown and correction.</w:t>
            </w:r>
          </w:p>
        </w:tc>
      </w:tr>
      <w:tr>
        <w:tc>
          <w:tcPr>
            <w:tcW w:type="dxa" w:w="2469"/>
            <w:tcMar>
              <w:top w:w="45" w:type="dxa"/>
              <w:start w:w="100" w:type="dxa"/>
              <w:bottom w:w="45" w:type="dxa"/>
              <w:end w:w="100" w:type="dxa"/>
            </w:tcMar>
          </w:tcPr>
          <w:p>
            <w:r>
              <w:t>GRV-FS10</w:t>
              <w:br/>
              <w:t>Contamination-Event Response Readiness Verification</w:t>
            </w:r>
          </w:p>
        </w:tc>
        <w:tc>
          <w:tcPr>
            <w:tcW w:type="dxa" w:w="2469"/>
            <w:tcMar>
              <w:top w:w="45" w:type="dxa"/>
              <w:start w:w="100" w:type="dxa"/>
              <w:bottom w:w="45" w:type="dxa"/>
              <w:end w:w="100" w:type="dxa"/>
            </w:tcMar>
          </w:tcPr>
          <w:p>
            <w:r>
              <w:t>GM / Food Safety Lead</w:t>
            </w:r>
          </w:p>
        </w:tc>
        <w:tc>
          <w:tcPr>
            <w:tcW w:type="dxa" w:w="2469"/>
            <w:tcMar>
              <w:top w:w="45" w:type="dxa"/>
              <w:start w:w="100" w:type="dxa"/>
              <w:bottom w:w="45" w:type="dxa"/>
              <w:end w:w="100" w:type="dxa"/>
            </w:tcMar>
          </w:tcPr>
          <w:p>
            <w:r>
              <w:t>Monthly and after event</w:t>
            </w:r>
          </w:p>
        </w:tc>
        <w:tc>
          <w:tcPr>
            <w:tcW w:type="dxa" w:w="2469"/>
            <w:tcMar>
              <w:top w:w="45" w:type="dxa"/>
              <w:start w:w="100" w:type="dxa"/>
              <w:bottom w:w="45" w:type="dxa"/>
              <w:end w:w="100" w:type="dxa"/>
            </w:tcMar>
          </w:tcPr>
          <w:p>
            <w:r>
              <w:t>Confirms the approved response procedure, supplies, restricted area, disposal, disinfection, reporting, and retraining controls are ready.</w:t>
            </w:r>
          </w:p>
        </w:tc>
      </w:tr>
      <w:tr>
        <w:tc>
          <w:tcPr>
            <w:tcW w:type="dxa" w:w="2469"/>
            <w:tcMar>
              <w:top w:w="45" w:type="dxa"/>
              <w:start w:w="100" w:type="dxa"/>
              <w:bottom w:w="45" w:type="dxa"/>
              <w:end w:w="100" w:type="dxa"/>
            </w:tcMar>
          </w:tcPr>
          <w:p>
            <w:r>
              <w:t>GRV-FS11</w:t>
              <w:br/>
              <w:t>TCS Food Process &amp; Control Map</w:t>
            </w:r>
          </w:p>
        </w:tc>
        <w:tc>
          <w:tcPr>
            <w:tcW w:type="dxa" w:w="2469"/>
            <w:tcMar>
              <w:top w:w="45" w:type="dxa"/>
              <w:start w:w="100" w:type="dxa"/>
              <w:bottom w:w="45" w:type="dxa"/>
              <w:end w:w="100" w:type="dxa"/>
            </w:tcMar>
          </w:tcPr>
          <w:p>
            <w:r>
              <w:t>Chef / Food Safety Lead</w:t>
            </w:r>
          </w:p>
        </w:tc>
        <w:tc>
          <w:tcPr>
            <w:tcW w:type="dxa" w:w="2469"/>
            <w:tcMar>
              <w:top w:w="45" w:type="dxa"/>
              <w:start w:w="100" w:type="dxa"/>
              <w:bottom w:w="45" w:type="dxa"/>
              <w:end w:w="100" w:type="dxa"/>
            </w:tcMar>
          </w:tcPr>
          <w:p>
            <w:r>
              <w:t>At setup and menu/process change</w:t>
            </w:r>
          </w:p>
        </w:tc>
        <w:tc>
          <w:tcPr>
            <w:tcW w:type="dxa" w:w="2469"/>
            <w:tcMar>
              <w:top w:w="45" w:type="dxa"/>
              <w:start w:w="100" w:type="dxa"/>
              <w:bottom w:w="45" w:type="dxa"/>
              <w:end w:w="100" w:type="dxa"/>
            </w:tcMar>
          </w:tcPr>
          <w:p>
            <w:r>
              <w:t>Maps each controlled food process to the applicable receiving, storage, preparation, cooking, cooling, reheating, holding, or time-control requirement source.</w:t>
            </w:r>
          </w:p>
        </w:tc>
      </w:tr>
      <w:tr>
        <w:tc>
          <w:tcPr>
            <w:tcW w:type="dxa" w:w="2469"/>
            <w:tcMar>
              <w:top w:w="45" w:type="dxa"/>
              <w:start w:w="100" w:type="dxa"/>
              <w:bottom w:w="45" w:type="dxa"/>
              <w:end w:w="100" w:type="dxa"/>
            </w:tcMar>
          </w:tcPr>
          <w:p>
            <w:r>
              <w:t>GRV-FS12</w:t>
              <w:br/>
              <w:t>Receiving Temperature &amp; Condition Verification</w:t>
            </w:r>
          </w:p>
        </w:tc>
        <w:tc>
          <w:tcPr>
            <w:tcW w:type="dxa" w:w="2469"/>
            <w:tcMar>
              <w:top w:w="45" w:type="dxa"/>
              <w:start w:w="100" w:type="dxa"/>
              <w:bottom w:w="45" w:type="dxa"/>
              <w:end w:w="100" w:type="dxa"/>
            </w:tcMar>
          </w:tcPr>
          <w:p>
            <w:r>
              <w:t>Receiver / Manager</w:t>
            </w:r>
          </w:p>
        </w:tc>
        <w:tc>
          <w:tcPr>
            <w:tcW w:type="dxa" w:w="2469"/>
            <w:tcMar>
              <w:top w:w="45" w:type="dxa"/>
              <w:start w:w="100" w:type="dxa"/>
              <w:bottom w:w="45" w:type="dxa"/>
              <w:end w:w="100" w:type="dxa"/>
            </w:tcMar>
          </w:tcPr>
          <w:p>
            <w:r>
              <w:t>Each applicable delivery</w:t>
            </w:r>
          </w:p>
        </w:tc>
        <w:tc>
          <w:tcPr>
            <w:tcW w:type="dxa" w:w="2469"/>
            <w:tcMar>
              <w:top w:w="45" w:type="dxa"/>
              <w:start w:w="100" w:type="dxa"/>
              <w:bottom w:w="45" w:type="dxa"/>
              <w:end w:w="100" w:type="dxa"/>
            </w:tcMar>
          </w:tcPr>
          <w:p>
            <w:r>
              <w:t>Records required receiving checks from the location-approved standard, including condition, temperature where applicable, packaging, date control, and reject/accept decision.</w:t>
            </w:r>
          </w:p>
        </w:tc>
      </w:tr>
      <w:tr>
        <w:tc>
          <w:tcPr>
            <w:tcW w:type="dxa" w:w="2469"/>
            <w:tcMar>
              <w:top w:w="45" w:type="dxa"/>
              <w:start w:w="100" w:type="dxa"/>
              <w:bottom w:w="45" w:type="dxa"/>
              <w:end w:w="100" w:type="dxa"/>
            </w:tcMar>
          </w:tcPr>
          <w:p>
            <w:r>
              <w:t>GRV-FS13</w:t>
              <w:br/>
              <w:t>Holding Control Monitoring Record</w:t>
            </w:r>
          </w:p>
        </w:tc>
        <w:tc>
          <w:tcPr>
            <w:tcW w:type="dxa" w:w="2469"/>
            <w:tcMar>
              <w:top w:w="45" w:type="dxa"/>
              <w:start w:w="100" w:type="dxa"/>
              <w:bottom w:w="45" w:type="dxa"/>
              <w:end w:w="100" w:type="dxa"/>
            </w:tcMar>
          </w:tcPr>
          <w:p>
            <w:r>
              <w:t>Manager / Station Owner</w:t>
            </w:r>
          </w:p>
        </w:tc>
        <w:tc>
          <w:tcPr>
            <w:tcW w:type="dxa" w:w="2469"/>
            <w:tcMar>
              <w:top w:w="45" w:type="dxa"/>
              <w:start w:w="100" w:type="dxa"/>
              <w:bottom w:w="45" w:type="dxa"/>
              <w:end w:w="100" w:type="dxa"/>
            </w:tcMar>
          </w:tcPr>
          <w:p>
            <w:r>
              <w:t>At approved frequency</w:t>
            </w:r>
          </w:p>
        </w:tc>
        <w:tc>
          <w:tcPr>
            <w:tcW w:type="dxa" w:w="2469"/>
            <w:tcMar>
              <w:top w:w="45" w:type="dxa"/>
              <w:start w:w="100" w:type="dxa"/>
              <w:bottom w:w="45" w:type="dxa"/>
              <w:end w:w="100" w:type="dxa"/>
            </w:tcMar>
          </w:tcPr>
          <w:p>
            <w:r>
              <w:t>Records hot/cold holding or other required controls using the applicable approved threshold and correction rule rather than a hard-coded national assumption.</w:t>
            </w:r>
          </w:p>
        </w:tc>
      </w:tr>
      <w:tr>
        <w:tc>
          <w:tcPr>
            <w:tcW w:type="dxa" w:w="2469"/>
            <w:tcMar>
              <w:top w:w="45" w:type="dxa"/>
              <w:start w:w="100" w:type="dxa"/>
              <w:bottom w:w="45" w:type="dxa"/>
              <w:end w:w="100" w:type="dxa"/>
            </w:tcMar>
          </w:tcPr>
          <w:p>
            <w:r>
              <w:t>GRV-FS14</w:t>
              <w:br/>
              <w:t>Cooling &amp; Reheating Process Verification</w:t>
            </w:r>
          </w:p>
        </w:tc>
        <w:tc>
          <w:tcPr>
            <w:tcW w:type="dxa" w:w="2469"/>
            <w:tcMar>
              <w:top w:w="45" w:type="dxa"/>
              <w:start w:w="100" w:type="dxa"/>
              <w:bottom w:w="45" w:type="dxa"/>
              <w:end w:w="100" w:type="dxa"/>
            </w:tcMar>
          </w:tcPr>
          <w:p>
            <w:r>
              <w:t>Kitchen Manager / Food Safety Lead</w:t>
            </w:r>
          </w:p>
        </w:tc>
        <w:tc>
          <w:tcPr>
            <w:tcW w:type="dxa" w:w="2469"/>
            <w:tcMar>
              <w:top w:w="45" w:type="dxa"/>
              <w:start w:w="100" w:type="dxa"/>
              <w:bottom w:w="45" w:type="dxa"/>
              <w:end w:w="100" w:type="dxa"/>
            </w:tcMar>
          </w:tcPr>
          <w:p>
            <w:r>
              <w:t>Each controlled batch or approved sample plan</w:t>
            </w:r>
          </w:p>
        </w:tc>
        <w:tc>
          <w:tcPr>
            <w:tcW w:type="dxa" w:w="2469"/>
            <w:tcMar>
              <w:top w:w="45" w:type="dxa"/>
              <w:start w:w="100" w:type="dxa"/>
              <w:bottom w:w="45" w:type="dxa"/>
              <w:end w:w="100" w:type="dxa"/>
            </w:tcMar>
          </w:tcPr>
          <w:p>
            <w:r>
              <w:t>Documents start/end conditions, time/temperature checkpoints, equipment, batch identification, deviation, disposition, and verification against the approved local standard.</w:t>
            </w:r>
          </w:p>
        </w:tc>
      </w:tr>
      <w:tr>
        <w:tc>
          <w:tcPr>
            <w:tcW w:type="dxa" w:w="2469"/>
            <w:tcMar>
              <w:top w:w="45" w:type="dxa"/>
              <w:start w:w="100" w:type="dxa"/>
              <w:bottom w:w="45" w:type="dxa"/>
              <w:end w:w="100" w:type="dxa"/>
            </w:tcMar>
          </w:tcPr>
          <w:p>
            <w:r>
              <w:t>GRV-FS15</w:t>
              <w:br/>
              <w:t>Approved Time-Control Authorization &amp; Monitoring Log</w:t>
            </w:r>
          </w:p>
        </w:tc>
        <w:tc>
          <w:tcPr>
            <w:tcW w:type="dxa" w:w="2469"/>
            <w:tcMar>
              <w:top w:w="45" w:type="dxa"/>
              <w:start w:w="100" w:type="dxa"/>
              <w:bottom w:w="45" w:type="dxa"/>
              <w:end w:w="100" w:type="dxa"/>
            </w:tcMar>
          </w:tcPr>
          <w:p>
            <w:r>
              <w:t>GM / Food Safety Lead</w:t>
            </w:r>
          </w:p>
        </w:tc>
        <w:tc>
          <w:tcPr>
            <w:tcW w:type="dxa" w:w="2469"/>
            <w:tcMar>
              <w:top w:w="45" w:type="dxa"/>
              <w:start w:w="100" w:type="dxa"/>
              <w:bottom w:w="45" w:type="dxa"/>
              <w:end w:w="100" w:type="dxa"/>
            </w:tcMar>
          </w:tcPr>
          <w:p>
            <w:r>
              <w:t>Per approved use</w:t>
            </w:r>
          </w:p>
        </w:tc>
        <w:tc>
          <w:tcPr>
            <w:tcW w:type="dxa" w:w="2469"/>
            <w:tcMar>
              <w:top w:w="45" w:type="dxa"/>
              <w:start w:w="100" w:type="dxa"/>
              <w:bottom w:w="45" w:type="dxa"/>
              <w:end w:w="100" w:type="dxa"/>
            </w:tcMar>
          </w:tcPr>
          <w:p>
            <w:r>
              <w:t>Documents any approved time-as-a-control procedure, authorization, start time, discard time, labeling, monitoring, and corrective action based on the applicable authority.</w:t>
            </w:r>
          </w:p>
        </w:tc>
      </w:tr>
      <w:tr>
        <w:tc>
          <w:tcPr>
            <w:tcW w:type="dxa" w:w="2469"/>
            <w:tcMar>
              <w:top w:w="45" w:type="dxa"/>
              <w:start w:w="100" w:type="dxa"/>
              <w:bottom w:w="45" w:type="dxa"/>
              <w:end w:w="100" w:type="dxa"/>
            </w:tcMar>
          </w:tcPr>
          <w:p>
            <w:r>
              <w:t>GRV-FS16</w:t>
              <w:br/>
              <w:t>Raw-to-Ready-to-Eat Separation Audit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Daily and weekly audit</w:t>
            </w:r>
          </w:p>
        </w:tc>
        <w:tc>
          <w:tcPr>
            <w:tcW w:type="dxa" w:w="2469"/>
            <w:tcMar>
              <w:top w:w="45" w:type="dxa"/>
              <w:start w:w="100" w:type="dxa"/>
              <w:bottom w:w="45" w:type="dxa"/>
              <w:end w:w="100" w:type="dxa"/>
            </w:tcMar>
          </w:tcPr>
          <w:p>
            <w:r>
              <w:t>Checks storage, prep, utensils, surfaces, workflow, and employee practices that protect ready-to-eat food from raw animal-product contamination.</w:t>
            </w:r>
          </w:p>
        </w:tc>
      </w:tr>
      <w:tr>
        <w:tc>
          <w:tcPr>
            <w:tcW w:type="dxa" w:w="2469"/>
            <w:tcMar>
              <w:top w:w="45" w:type="dxa"/>
              <w:start w:w="100" w:type="dxa"/>
              <w:bottom w:w="45" w:type="dxa"/>
              <w:end w:w="100" w:type="dxa"/>
            </w:tcMar>
          </w:tcPr>
          <w:p>
            <w:r>
              <w:t>GRV-FS17</w:t>
              <w:br/>
              <w:t>Allergen Control &amp; Communication Verification</w:t>
            </w:r>
          </w:p>
        </w:tc>
        <w:tc>
          <w:tcPr>
            <w:tcW w:type="dxa" w:w="2469"/>
            <w:tcMar>
              <w:top w:w="45" w:type="dxa"/>
              <w:start w:w="100" w:type="dxa"/>
              <w:bottom w:w="45" w:type="dxa"/>
              <w:end w:w="100" w:type="dxa"/>
            </w:tcMar>
          </w:tcPr>
          <w:p>
            <w:r>
              <w:t>Manager / Expo / Kitchen Lead</w:t>
            </w:r>
          </w:p>
        </w:tc>
        <w:tc>
          <w:tcPr>
            <w:tcW w:type="dxa" w:w="2469"/>
            <w:tcMar>
              <w:top w:w="45" w:type="dxa"/>
              <w:start w:w="100" w:type="dxa"/>
              <w:bottom w:w="45" w:type="dxa"/>
              <w:end w:w="100" w:type="dxa"/>
            </w:tcMar>
          </w:tcPr>
          <w:p>
            <w:r>
              <w:t>Per declared allergy and periodic audit</w:t>
            </w:r>
          </w:p>
        </w:tc>
        <w:tc>
          <w:tcPr>
            <w:tcW w:type="dxa" w:w="2469"/>
            <w:tcMar>
              <w:top w:w="45" w:type="dxa"/>
              <w:start w:w="100" w:type="dxa"/>
              <w:bottom w:w="45" w:type="dxa"/>
              <w:end w:w="100" w:type="dxa"/>
            </w:tcMar>
          </w:tcPr>
          <w:p>
            <w:r>
              <w:t>Verifies the restaurant’s approved allergy communication, ingredient/source check, preparation controls, handoff, service confirmation, and incident escalation.</w:t>
            </w:r>
          </w:p>
        </w:tc>
      </w:tr>
      <w:tr>
        <w:tc>
          <w:tcPr>
            <w:tcW w:type="dxa" w:w="2469"/>
            <w:tcMar>
              <w:top w:w="45" w:type="dxa"/>
              <w:start w:w="100" w:type="dxa"/>
              <w:bottom w:w="45" w:type="dxa"/>
              <w:end w:w="100" w:type="dxa"/>
            </w:tcMar>
          </w:tcPr>
          <w:p>
            <w:r>
              <w:t>GRV-FS18</w:t>
              <w:br/>
              <w:t>Food-Contact Surface Cleaning &amp; Sanitizing Verification</w:t>
            </w:r>
          </w:p>
        </w:tc>
        <w:tc>
          <w:tcPr>
            <w:tcW w:type="dxa" w:w="2469"/>
            <w:tcMar>
              <w:top w:w="45" w:type="dxa"/>
              <w:start w:w="100" w:type="dxa"/>
              <w:bottom w:w="45" w:type="dxa"/>
              <w:end w:w="100" w:type="dxa"/>
            </w:tcMar>
          </w:tcPr>
          <w:p>
            <w:r>
              <w:t>Kitchen Manager / Sanitation Lead</w:t>
            </w:r>
          </w:p>
        </w:tc>
        <w:tc>
          <w:tcPr>
            <w:tcW w:type="dxa" w:w="2469"/>
            <w:tcMar>
              <w:top w:w="45" w:type="dxa"/>
              <w:start w:w="100" w:type="dxa"/>
              <w:bottom w:w="45" w:type="dxa"/>
              <w:end w:w="100" w:type="dxa"/>
            </w:tcMar>
          </w:tcPr>
          <w:p>
            <w:r>
              <w:t>Daily and scheduled audit</w:t>
            </w:r>
          </w:p>
        </w:tc>
        <w:tc>
          <w:tcPr>
            <w:tcW w:type="dxa" w:w="2469"/>
            <w:tcMar>
              <w:top w:w="45" w:type="dxa"/>
              <w:start w:w="100" w:type="dxa"/>
              <w:bottom w:w="45" w:type="dxa"/>
              <w:end w:w="100" w:type="dxa"/>
            </w:tcMar>
          </w:tcPr>
          <w:p>
            <w:r>
              <w:t>Confirms cleaning and sanitizing frequency, approved chemical/process, concentration or equipment verification where required, and corrective action.</w:t>
            </w:r>
          </w:p>
        </w:tc>
      </w:tr>
      <w:tr>
        <w:tc>
          <w:tcPr>
            <w:tcW w:type="dxa" w:w="2469"/>
            <w:tcMar>
              <w:top w:w="45" w:type="dxa"/>
              <w:start w:w="100" w:type="dxa"/>
              <w:bottom w:w="45" w:type="dxa"/>
              <w:end w:w="100" w:type="dxa"/>
            </w:tcMar>
          </w:tcPr>
          <w:p>
            <w:r>
              <w:t>GRV-FS19</w:t>
              <w:br/>
              <w:t>Warewashing &amp; Sanitizer Control Record</w:t>
            </w:r>
          </w:p>
        </w:tc>
        <w:tc>
          <w:tcPr>
            <w:tcW w:type="dxa" w:w="2469"/>
            <w:tcMar>
              <w:top w:w="45" w:type="dxa"/>
              <w:start w:w="100" w:type="dxa"/>
              <w:bottom w:w="45" w:type="dxa"/>
              <w:end w:w="100" w:type="dxa"/>
            </w:tcMar>
          </w:tcPr>
          <w:p>
            <w:r>
              <w:t>Dish / Kitchen Manager</w:t>
            </w:r>
          </w:p>
        </w:tc>
        <w:tc>
          <w:tcPr>
            <w:tcW w:type="dxa" w:w="2469"/>
            <w:tcMar>
              <w:top w:w="45" w:type="dxa"/>
              <w:start w:w="100" w:type="dxa"/>
              <w:bottom w:w="45" w:type="dxa"/>
              <w:end w:w="100" w:type="dxa"/>
            </w:tcMar>
          </w:tcPr>
          <w:p>
            <w:r>
              <w:t>At approved frequency</w:t>
            </w:r>
          </w:p>
        </w:tc>
        <w:tc>
          <w:tcPr>
            <w:tcW w:type="dxa" w:w="2469"/>
            <w:tcMar>
              <w:top w:w="45" w:type="dxa"/>
              <w:start w:w="100" w:type="dxa"/>
              <w:bottom w:w="45" w:type="dxa"/>
              <w:end w:w="100" w:type="dxa"/>
            </w:tcMar>
          </w:tcPr>
          <w:p>
            <w:r>
              <w:t>Records warewashing-machine or manual-sink control checks, sanitizer verification, equipment condition, corrective action, and management review.</w:t>
            </w:r>
          </w:p>
        </w:tc>
      </w:tr>
      <w:tr>
        <w:tc>
          <w:tcPr>
            <w:tcW w:type="dxa" w:w="2469"/>
            <w:tcMar>
              <w:top w:w="45" w:type="dxa"/>
              <w:start w:w="100" w:type="dxa"/>
              <w:bottom w:w="45" w:type="dxa"/>
              <w:end w:w="100" w:type="dxa"/>
            </w:tcMar>
          </w:tcPr>
          <w:p>
            <w:r>
              <w:t>GRV-FS20</w:t>
              <w:br/>
              <w:t>Chemical Storage, Labeling &amp; Use Audit</w:t>
            </w:r>
          </w:p>
        </w:tc>
        <w:tc>
          <w:tcPr>
            <w:tcW w:type="dxa" w:w="2469"/>
            <w:tcMar>
              <w:top w:w="45" w:type="dxa"/>
              <w:start w:w="100" w:type="dxa"/>
              <w:bottom w:w="45" w:type="dxa"/>
              <w:end w:w="100" w:type="dxa"/>
            </w:tcMar>
          </w:tcPr>
          <w:p>
            <w:r>
              <w:t>Kitchen Manager / Safety Lead</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Verifies chemical identification, storage, labeling, use instructions, separation, secondary containers, access, and correction.</w:t>
            </w:r>
          </w:p>
        </w:tc>
      </w:tr>
      <w:tr>
        <w:tc>
          <w:tcPr>
            <w:tcW w:type="dxa" w:w="2469"/>
            <w:tcMar>
              <w:top w:w="45" w:type="dxa"/>
              <w:start w:w="100" w:type="dxa"/>
              <w:bottom w:w="45" w:type="dxa"/>
              <w:end w:w="100" w:type="dxa"/>
            </w:tcMar>
          </w:tcPr>
          <w:p>
            <w:r>
              <w:t>GRV-FS21</w:t>
              <w:br/>
              <w:t>Facility Sanitation Walk</w:t>
            </w:r>
          </w:p>
        </w:tc>
        <w:tc>
          <w:tcPr>
            <w:tcW w:type="dxa" w:w="2469"/>
            <w:tcMar>
              <w:top w:w="45" w:type="dxa"/>
              <w:start w:w="100" w:type="dxa"/>
              <w:bottom w:w="45" w:type="dxa"/>
              <w:end w:w="100" w:type="dxa"/>
            </w:tcMar>
          </w:tcPr>
          <w:p>
            <w:r>
              <w:t>Manager / Sanitation Lead</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Reviews floors, drains, walls, ceilings, refuse, employee areas, non-food-contact surfaces, hand sinks, restrooms, and other sanitation conditions requiring action.</w:t>
            </w:r>
          </w:p>
        </w:tc>
      </w:tr>
      <w:tr>
        <w:tc>
          <w:tcPr>
            <w:tcW w:type="dxa" w:w="2469"/>
            <w:tcMar>
              <w:top w:w="45" w:type="dxa"/>
              <w:start w:w="100" w:type="dxa"/>
              <w:bottom w:w="45" w:type="dxa"/>
              <w:end w:w="100" w:type="dxa"/>
            </w:tcMar>
          </w:tcPr>
          <w:p>
            <w:r>
              <w:t>GRV-FS22</w:t>
              <w:br/>
              <w:t>Master Cleaning Schedule &amp; Verification Record</w:t>
            </w:r>
          </w:p>
        </w:tc>
        <w:tc>
          <w:tcPr>
            <w:tcW w:type="dxa" w:w="2469"/>
            <w:tcMar>
              <w:top w:w="45" w:type="dxa"/>
              <w:start w:w="100" w:type="dxa"/>
              <w:bottom w:w="45" w:type="dxa"/>
              <w:end w:w="100" w:type="dxa"/>
            </w:tcMar>
          </w:tcPr>
          <w:p>
            <w:r>
              <w:t>Sanitation Lead / Department Managers</w:t>
            </w:r>
          </w:p>
        </w:tc>
        <w:tc>
          <w:tcPr>
            <w:tcW w:type="dxa" w:w="2469"/>
            <w:tcMar>
              <w:top w:w="45" w:type="dxa"/>
              <w:start w:w="100" w:type="dxa"/>
              <w:bottom w:w="45" w:type="dxa"/>
              <w:end w:w="100" w:type="dxa"/>
            </w:tcMar>
          </w:tcPr>
          <w:p>
            <w:r>
              <w:t>Weekly and monthly</w:t>
            </w:r>
          </w:p>
        </w:tc>
        <w:tc>
          <w:tcPr>
            <w:tcW w:type="dxa" w:w="2469"/>
            <w:tcMar>
              <w:top w:w="45" w:type="dxa"/>
              <w:start w:w="100" w:type="dxa"/>
              <w:bottom w:w="45" w:type="dxa"/>
              <w:end w:w="100" w:type="dxa"/>
            </w:tcMar>
          </w:tcPr>
          <w:p>
            <w:r>
              <w:t>Defines what is cleaned, by whom, how often, by what approved method, and how completion and effectiveness are verified.</w:t>
            </w:r>
          </w:p>
        </w:tc>
      </w:tr>
      <w:tr>
        <w:tc>
          <w:tcPr>
            <w:tcW w:type="dxa" w:w="2469"/>
            <w:tcMar>
              <w:top w:w="45" w:type="dxa"/>
              <w:start w:w="100" w:type="dxa"/>
              <w:bottom w:w="45" w:type="dxa"/>
              <w:end w:w="100" w:type="dxa"/>
            </w:tcMar>
          </w:tcPr>
          <w:p>
            <w:r>
              <w:t>GRV-FS23</w:t>
              <w:br/>
              <w:t>Pest Evidence &amp; Corrective Action Log</w:t>
            </w:r>
          </w:p>
        </w:tc>
        <w:tc>
          <w:tcPr>
            <w:tcW w:type="dxa" w:w="2469"/>
            <w:tcMar>
              <w:top w:w="45" w:type="dxa"/>
              <w:start w:w="100" w:type="dxa"/>
              <w:bottom w:w="45" w:type="dxa"/>
              <w:end w:w="100" w:type="dxa"/>
            </w:tcMar>
          </w:tcPr>
          <w:p>
            <w:r>
              <w:t>GM / Facility Owner</w:t>
            </w:r>
          </w:p>
        </w:tc>
        <w:tc>
          <w:tcPr>
            <w:tcW w:type="dxa" w:w="2469"/>
            <w:tcMar>
              <w:top w:w="45" w:type="dxa"/>
              <w:start w:w="100" w:type="dxa"/>
              <w:bottom w:w="45" w:type="dxa"/>
              <w:end w:w="100" w:type="dxa"/>
            </w:tcMar>
          </w:tcPr>
          <w:p>
            <w:r>
              <w:t>As found; monthly review</w:t>
            </w:r>
          </w:p>
        </w:tc>
        <w:tc>
          <w:tcPr>
            <w:tcW w:type="dxa" w:w="2469"/>
            <w:tcMar>
              <w:top w:w="45" w:type="dxa"/>
              <w:start w:w="100" w:type="dxa"/>
              <w:bottom w:w="45" w:type="dxa"/>
              <w:end w:w="100" w:type="dxa"/>
            </w:tcMar>
          </w:tcPr>
          <w:p>
            <w:r>
              <w:t>Records evidence, location, date, immediate control, sanitation or structural contributors, vendor escalation, and verification.</w:t>
            </w:r>
          </w:p>
        </w:tc>
      </w:tr>
      <w:tr>
        <w:tc>
          <w:tcPr>
            <w:tcW w:type="dxa" w:w="2469"/>
            <w:tcMar>
              <w:top w:w="45" w:type="dxa"/>
              <w:start w:w="100" w:type="dxa"/>
              <w:bottom w:w="45" w:type="dxa"/>
              <w:end w:w="100" w:type="dxa"/>
            </w:tcMar>
          </w:tcPr>
          <w:p>
            <w:r>
              <w:t>GRV-FS24</w:t>
              <w:br/>
              <w:t>Water, Ice, Plumbing &amp; Backflow Readiness Review</w:t>
            </w:r>
          </w:p>
        </w:tc>
        <w:tc>
          <w:tcPr>
            <w:tcW w:type="dxa" w:w="2469"/>
            <w:tcMar>
              <w:top w:w="45" w:type="dxa"/>
              <w:start w:w="100" w:type="dxa"/>
              <w:bottom w:w="45" w:type="dxa"/>
              <w:end w:w="100" w:type="dxa"/>
            </w:tcMar>
          </w:tcPr>
          <w:p>
            <w:r>
              <w:t>GM / Facility Owner</w:t>
            </w:r>
          </w:p>
        </w:tc>
        <w:tc>
          <w:tcPr>
            <w:tcW w:type="dxa" w:w="2469"/>
            <w:tcMar>
              <w:top w:w="45" w:type="dxa"/>
              <w:start w:w="100" w:type="dxa"/>
              <w:bottom w:w="45" w:type="dxa"/>
              <w:end w:w="100" w:type="dxa"/>
            </w:tcMar>
          </w:tcPr>
          <w:p>
            <w:r>
              <w:t>Monthly and after disruption</w:t>
            </w:r>
          </w:p>
        </w:tc>
        <w:tc>
          <w:tcPr>
            <w:tcW w:type="dxa" w:w="2469"/>
            <w:tcMar>
              <w:top w:w="45" w:type="dxa"/>
              <w:start w:w="100" w:type="dxa"/>
              <w:bottom w:w="45" w:type="dxa"/>
              <w:end w:w="100" w:type="dxa"/>
            </w:tcMar>
          </w:tcPr>
          <w:p>
            <w:r>
              <w:t>Verifies approved water/ice source, plumbing condition, drainage, cross-connection/backflow controls, interruption response, and service documentation.</w:t>
            </w:r>
          </w:p>
        </w:tc>
      </w:tr>
      <w:tr>
        <w:tc>
          <w:tcPr>
            <w:tcW w:type="dxa" w:w="2469"/>
            <w:tcMar>
              <w:top w:w="45" w:type="dxa"/>
              <w:start w:w="100" w:type="dxa"/>
              <w:bottom w:w="45" w:type="dxa"/>
              <w:end w:w="100" w:type="dxa"/>
            </w:tcMar>
          </w:tcPr>
          <w:p>
            <w:r>
              <w:t>GRV-FS25</w:t>
              <w:br/>
              <w:t>Equipment Condition &amp; Cleanability Review</w:t>
            </w:r>
          </w:p>
        </w:tc>
        <w:tc>
          <w:tcPr>
            <w:tcW w:type="dxa" w:w="2469"/>
            <w:tcMar>
              <w:top w:w="45" w:type="dxa"/>
              <w:start w:w="100" w:type="dxa"/>
              <w:bottom w:w="45" w:type="dxa"/>
              <w:end w:w="100" w:type="dxa"/>
            </w:tcMar>
          </w:tcPr>
          <w:p>
            <w:r>
              <w:t>Kitchen Manager / Facility Owner</w:t>
            </w:r>
          </w:p>
        </w:tc>
        <w:tc>
          <w:tcPr>
            <w:tcW w:type="dxa" w:w="2469"/>
            <w:tcMar>
              <w:top w:w="45" w:type="dxa"/>
              <w:start w:w="100" w:type="dxa"/>
              <w:bottom w:w="45" w:type="dxa"/>
              <w:end w:w="100" w:type="dxa"/>
            </w:tcMar>
          </w:tcPr>
          <w:p>
            <w:r>
              <w:t>Monthly</w:t>
            </w:r>
          </w:p>
        </w:tc>
        <w:tc>
          <w:tcPr>
            <w:tcW w:type="dxa" w:w="2469"/>
            <w:tcMar>
              <w:top w:w="45" w:type="dxa"/>
              <w:start w:w="100" w:type="dxa"/>
              <w:bottom w:w="45" w:type="dxa"/>
              <w:end w:w="100" w:type="dxa"/>
            </w:tcMar>
          </w:tcPr>
          <w:p>
            <w:r>
              <w:t>Checks food equipment condition, cleanability, seals, surfaces, calibration needs, damage, repair priority, and food-safety impact.</w:t>
            </w:r>
          </w:p>
        </w:tc>
      </w:tr>
      <w:tr>
        <w:tc>
          <w:tcPr>
            <w:tcW w:type="dxa" w:w="2469"/>
            <w:tcMar>
              <w:top w:w="45" w:type="dxa"/>
              <w:start w:w="100" w:type="dxa"/>
              <w:bottom w:w="45" w:type="dxa"/>
              <w:end w:w="100" w:type="dxa"/>
            </w:tcMar>
          </w:tcPr>
          <w:p>
            <w:r>
              <w:t>GRV-FS26</w:t>
              <w:br/>
              <w:t>Food Safety Training &amp; Competency Verification</w:t>
            </w:r>
          </w:p>
        </w:tc>
        <w:tc>
          <w:tcPr>
            <w:tcW w:type="dxa" w:w="2469"/>
            <w:tcMar>
              <w:top w:w="45" w:type="dxa"/>
              <w:start w:w="100" w:type="dxa"/>
              <w:bottom w:w="45" w:type="dxa"/>
              <w:end w:w="100" w:type="dxa"/>
            </w:tcMar>
          </w:tcPr>
          <w:p>
            <w:r>
              <w:t>Food Safety Lead / Trainer</w:t>
            </w:r>
          </w:p>
        </w:tc>
        <w:tc>
          <w:tcPr>
            <w:tcW w:type="dxa" w:w="2469"/>
            <w:tcMar>
              <w:top w:w="45" w:type="dxa"/>
              <w:start w:w="100" w:type="dxa"/>
              <w:bottom w:w="45" w:type="dxa"/>
              <w:end w:w="100" w:type="dxa"/>
            </w:tcMar>
          </w:tcPr>
          <w:p>
            <w:r>
              <w:t>At onboarding and recurring review</w:t>
            </w:r>
          </w:p>
        </w:tc>
        <w:tc>
          <w:tcPr>
            <w:tcW w:type="dxa" w:w="2469"/>
            <w:tcMar>
              <w:top w:w="45" w:type="dxa"/>
              <w:start w:w="100" w:type="dxa"/>
              <w:bottom w:w="45" w:type="dxa"/>
              <w:end w:w="100" w:type="dxa"/>
            </w:tcMar>
          </w:tcPr>
          <w:p>
            <w:r>
              <w:t>Confirms role-specific food-safety learning, observed competency, retraining needs, source version, and certification or qualification evidence where applicable.</w:t>
            </w:r>
          </w:p>
        </w:tc>
      </w:tr>
      <w:tr>
        <w:tc>
          <w:tcPr>
            <w:tcW w:type="dxa" w:w="2469"/>
            <w:tcMar>
              <w:top w:w="45" w:type="dxa"/>
              <w:start w:w="100" w:type="dxa"/>
              <w:bottom w:w="45" w:type="dxa"/>
              <w:end w:w="100" w:type="dxa"/>
            </w:tcMar>
          </w:tcPr>
          <w:p>
            <w:r>
              <w:t>GRV-FS27</w:t>
              <w:br/>
              <w:t>Internal Food Safety Risk-Factor Audit</w:t>
            </w:r>
          </w:p>
        </w:tc>
        <w:tc>
          <w:tcPr>
            <w:tcW w:type="dxa" w:w="2469"/>
            <w:tcMar>
              <w:top w:w="45" w:type="dxa"/>
              <w:start w:w="100" w:type="dxa"/>
              <w:bottom w:w="45" w:type="dxa"/>
              <w:end w:w="100" w:type="dxa"/>
            </w:tcMar>
          </w:tcPr>
          <w:p>
            <w:r>
              <w:t>GM / Food Safety Lead</w:t>
            </w:r>
          </w:p>
        </w:tc>
        <w:tc>
          <w:tcPr>
            <w:tcW w:type="dxa" w:w="2469"/>
            <w:tcMar>
              <w:top w:w="45" w:type="dxa"/>
              <w:start w:w="100" w:type="dxa"/>
              <w:bottom w:w="45" w:type="dxa"/>
              <w:end w:w="100" w:type="dxa"/>
            </w:tcMar>
          </w:tcPr>
          <w:p>
            <w:r>
              <w:t>Monthly or quarterly</w:t>
            </w:r>
          </w:p>
        </w:tc>
        <w:tc>
          <w:tcPr>
            <w:tcW w:type="dxa" w:w="2469"/>
            <w:tcMar>
              <w:top w:w="45" w:type="dxa"/>
              <w:start w:w="100" w:type="dxa"/>
              <w:bottom w:w="45" w:type="dxa"/>
              <w:end w:w="100" w:type="dxa"/>
            </w:tcMar>
          </w:tcPr>
          <w:p>
            <w:r>
              <w:t>Audits the highest-risk food-safety controls using the location’s approved authority and records pass/fail evidence, severity, and corrective action.</w:t>
            </w:r>
          </w:p>
        </w:tc>
      </w:tr>
      <w:tr>
        <w:tc>
          <w:tcPr>
            <w:tcW w:type="dxa" w:w="2469"/>
            <w:tcMar>
              <w:top w:w="45" w:type="dxa"/>
              <w:start w:w="100" w:type="dxa"/>
              <w:bottom w:w="45" w:type="dxa"/>
              <w:end w:w="100" w:type="dxa"/>
            </w:tcMar>
          </w:tcPr>
          <w:p>
            <w:r>
              <w:t>GRV-FS28</w:t>
              <w:br/>
              <w:t>Regulatory Inspection Finding &amp; Corrective Action Log</w:t>
            </w:r>
          </w:p>
        </w:tc>
        <w:tc>
          <w:tcPr>
            <w:tcW w:type="dxa" w:w="2469"/>
            <w:tcMar>
              <w:top w:w="45" w:type="dxa"/>
              <w:start w:w="100" w:type="dxa"/>
              <w:bottom w:w="45" w:type="dxa"/>
              <w:end w:w="100" w:type="dxa"/>
            </w:tcMar>
          </w:tcPr>
          <w:p>
            <w:r>
              <w:t>GM / Food Safety Lead</w:t>
            </w:r>
          </w:p>
        </w:tc>
        <w:tc>
          <w:tcPr>
            <w:tcW w:type="dxa" w:w="2469"/>
            <w:tcMar>
              <w:top w:w="45" w:type="dxa"/>
              <w:start w:w="100" w:type="dxa"/>
              <w:bottom w:w="45" w:type="dxa"/>
              <w:end w:w="100" w:type="dxa"/>
            </w:tcMar>
          </w:tcPr>
          <w:p>
            <w:r>
              <w:t>Per inspection</w:t>
            </w:r>
          </w:p>
        </w:tc>
        <w:tc>
          <w:tcPr>
            <w:tcW w:type="dxa" w:w="2469"/>
            <w:tcMar>
              <w:top w:w="45" w:type="dxa"/>
              <w:start w:w="100" w:type="dxa"/>
              <w:bottom w:w="45" w:type="dxa"/>
              <w:end w:w="100" w:type="dxa"/>
            </w:tcMar>
          </w:tcPr>
          <w:p>
            <w:r>
              <w:t>Converts inspection findings into an owned correction, due date, evidence, authority communication, verification, and closure record.</w:t>
            </w:r>
          </w:p>
        </w:tc>
      </w:tr>
      <w:tr>
        <w:tc>
          <w:tcPr>
            <w:tcW w:type="dxa" w:w="2469"/>
            <w:tcMar>
              <w:top w:w="45" w:type="dxa"/>
              <w:start w:w="100" w:type="dxa"/>
              <w:bottom w:w="45" w:type="dxa"/>
              <w:end w:w="100" w:type="dxa"/>
            </w:tcMar>
          </w:tcPr>
          <w:p>
            <w:r>
              <w:t>GRV-FS29</w:t>
              <w:br/>
              <w:t>Food Safety Incident / Near-Miss Review</w:t>
            </w:r>
          </w:p>
        </w:tc>
        <w:tc>
          <w:tcPr>
            <w:tcW w:type="dxa" w:w="2469"/>
            <w:tcMar>
              <w:top w:w="45" w:type="dxa"/>
              <w:start w:w="100" w:type="dxa"/>
              <w:bottom w:w="45" w:type="dxa"/>
              <w:end w:w="100" w:type="dxa"/>
            </w:tcMar>
          </w:tcPr>
          <w:p>
            <w:r>
              <w:t>Owner / GM / Food Safety Lead</w:t>
            </w:r>
          </w:p>
        </w:tc>
        <w:tc>
          <w:tcPr>
            <w:tcW w:type="dxa" w:w="2469"/>
            <w:tcMar>
              <w:top w:w="45" w:type="dxa"/>
              <w:start w:w="100" w:type="dxa"/>
              <w:bottom w:w="45" w:type="dxa"/>
              <w:end w:w="100" w:type="dxa"/>
            </w:tcMar>
          </w:tcPr>
          <w:p>
            <w:r>
              <w:t>Per event</w:t>
            </w:r>
          </w:p>
        </w:tc>
        <w:tc>
          <w:tcPr>
            <w:tcW w:type="dxa" w:w="2469"/>
            <w:tcMar>
              <w:top w:w="45" w:type="dxa"/>
              <w:start w:w="100" w:type="dxa"/>
              <w:bottom w:w="45" w:type="dxa"/>
              <w:end w:w="100" w:type="dxa"/>
            </w:tcMar>
          </w:tcPr>
          <w:p>
            <w:r>
              <w:t>Records facts, affected process, product disposition, notifications, source requirements, immediate control, root cause, corrective action, and prevention learning.</w:t>
            </w:r>
          </w:p>
        </w:tc>
      </w:tr>
      <w:tr>
        <w:tc>
          <w:tcPr>
            <w:tcW w:type="dxa" w:w="2469"/>
            <w:tcMar>
              <w:top w:w="45" w:type="dxa"/>
              <w:start w:w="100" w:type="dxa"/>
              <w:bottom w:w="45" w:type="dxa"/>
              <w:end w:w="100" w:type="dxa"/>
            </w:tcMar>
          </w:tcPr>
          <w:p>
            <w:r>
              <w:t>GRV-FS30</w:t>
              <w:br/>
              <w:t>Monthly Food Safety Scorecard &amp; 90-Day Improvement Plan</w:t>
            </w:r>
          </w:p>
        </w:tc>
        <w:tc>
          <w:tcPr>
            <w:tcW w:type="dxa" w:w="2469"/>
            <w:tcMar>
              <w:top w:w="45" w:type="dxa"/>
              <w:start w:w="100" w:type="dxa"/>
              <w:bottom w:w="45" w:type="dxa"/>
              <w:end w:w="100" w:type="dxa"/>
            </w:tcMar>
          </w:tcPr>
          <w:p>
            <w:r>
              <w:t>Owner / GM / Food Safety Lead</w:t>
            </w:r>
          </w:p>
        </w:tc>
        <w:tc>
          <w:tcPr>
            <w:tcW w:type="dxa" w:w="2469"/>
            <w:tcMar>
              <w:top w:w="45" w:type="dxa"/>
              <w:start w:w="100" w:type="dxa"/>
              <w:bottom w:w="45" w:type="dxa"/>
              <w:end w:w="100" w:type="dxa"/>
            </w:tcMar>
          </w:tcPr>
          <w:p>
            <w:r>
              <w:t>Monthly and quarterly</w:t>
            </w:r>
          </w:p>
        </w:tc>
        <w:tc>
          <w:tcPr>
            <w:tcW w:type="dxa" w:w="2469"/>
            <w:tcMar>
              <w:top w:w="45" w:type="dxa"/>
              <w:start w:w="100" w:type="dxa"/>
              <w:bottom w:w="45" w:type="dxa"/>
              <w:end w:w="100" w:type="dxa"/>
            </w:tcMar>
          </w:tcPr>
          <w:p>
            <w:r>
              <w:t>Combines audit results, deviations, inspection findings, sanitation completion, training, incidents, and open actions into the next 90-day food-safety plan.</w:t>
            </w:r>
          </w:p>
        </w:tc>
      </w:tr>
    </w:tbl>
    <w:p>
      <w:pPr>
        <w:pStyle w:val="Heading1"/>
        <w:keepNext/>
        <w:spacing w:before="200"/>
      </w:pPr>
      <w:r>
        <w:t>18. Official Sources and Use Limitations</w:t>
      </w:r>
    </w:p>
    <w:p>
      <w:r>
        <w:t>The sources below support the control design. The restaurant must still use its own verified operating records and the current authority applicable to its location. Source pages and laws can change; verify them before relying on a legal, regulatory, health, payroll, tax, or compliance conclusion.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Reference</w:t>
            </w:r>
          </w:p>
        </w:tc>
        <w:tc>
          <w:tcPr>
            <w:tcW w:type="dxa" w:w="4939"/>
            <w:shd w:fill="0B2545"/>
          </w:tcPr>
          <w:p>
            <w:r>
              <w:rPr>
                <w:b/>
                <w:color w:val="FFFFFF"/>
              </w:rPr>
              <w:t>Official source / use</w:t>
            </w:r>
          </w:p>
        </w:tc>
      </w:tr>
      <w:tr>
        <w:tc>
          <w:tcPr>
            <w:tcW w:type="dxa" w:w="4939"/>
          </w:tcPr>
          <w:p>
            <w:r>
              <w:t>FDA Food Code</w:t>
            </w:r>
          </w:p>
        </w:tc>
        <w:tc>
          <w:tcPr>
            <w:tcW w:type="dxa" w:w="4939"/>
          </w:tcPr>
          <w:p>
            <w:r>
              <w:t>https://www.fda.gov/food/retail-food-protection/fda-food-code</w:t>
            </w:r>
          </w:p>
        </w:tc>
      </w:tr>
      <w:tr>
        <w:tc>
          <w:tcPr>
            <w:tcW w:type="dxa" w:w="4939"/>
          </w:tcPr>
          <w:p>
            <w:r>
              <w:t>FDA Food Code 2022</w:t>
            </w:r>
          </w:p>
        </w:tc>
        <w:tc>
          <w:tcPr>
            <w:tcW w:type="dxa" w:w="4939"/>
          </w:tcPr>
          <w:p>
            <w:r>
              <w:t>https://www.fda.gov/food/fda-food-code/food-code-2022</w:t>
            </w:r>
          </w:p>
        </w:tc>
      </w:tr>
      <w:tr>
        <w:tc>
          <w:tcPr>
            <w:tcW w:type="dxa" w:w="4939"/>
          </w:tcPr>
          <w:p>
            <w:r>
              <w:t>FDA Supplement to the 2022 Food Code</w:t>
            </w:r>
          </w:p>
        </w:tc>
        <w:tc>
          <w:tcPr>
            <w:tcW w:type="dxa" w:w="4939"/>
          </w:tcPr>
          <w:p>
            <w:r>
              <w:t>https://www.fda.gov/food/hfp-constituent-updates/fda-releases-supplement-2022-food-code</w:t>
            </w:r>
          </w:p>
        </w:tc>
      </w:tr>
      <w:tr>
        <w:tc>
          <w:tcPr>
            <w:tcW w:type="dxa" w:w="4939"/>
          </w:tcPr>
          <w:p>
            <w:r>
              <w:t>FDA Employee Health Policy Tool</w:t>
            </w:r>
          </w:p>
        </w:tc>
        <w:tc>
          <w:tcPr>
            <w:tcW w:type="dxa" w:w="4939"/>
          </w:tcPr>
          <w:p>
            <w:r>
              <w:t>https://www.fda.gov/food/retail-food-protection/fda-employee-health-policy-tool</w:t>
            </w:r>
          </w:p>
        </w:tc>
      </w:tr>
      <w:tr>
        <w:tc>
          <w:tcPr>
            <w:tcW w:type="dxa" w:w="4939"/>
          </w:tcPr>
          <w:p>
            <w:r>
              <w:t>FDA Retail Food Protection Resources</w:t>
            </w:r>
          </w:p>
        </w:tc>
        <w:tc>
          <w:tcPr>
            <w:tcW w:type="dxa" w:w="4939"/>
          </w:tcPr>
          <w:p>
            <w:r>
              <w:t>https://www.fda.gov/food/guidance-regulation-food-and-dietary-supplements/retail-food-protection</w:t>
            </w:r>
          </w:p>
        </w:tc>
      </w:tr>
      <w:tr>
        <w:tc>
          <w:tcPr>
            <w:tcW w:type="dxa" w:w="4939"/>
          </w:tcPr>
          <w:p>
            <w:r>
              <w:t>CDC Restaurant Food Safety</w:t>
            </w:r>
          </w:p>
        </w:tc>
        <w:tc>
          <w:tcPr>
            <w:tcW w:type="dxa" w:w="4939"/>
          </w:tcPr>
          <w:p>
            <w:r>
              <w:t>https://www.cdc.gov/restaurant-food-safety/</w:t>
            </w:r>
          </w:p>
        </w:tc>
      </w:tr>
    </w:tbl>
    <w:p/>
    <w:p>
      <w:r>
        <w:rPr>
          <w:b/>
          <w:color w:val="B38B2E"/>
        </w:rPr>
        <w:t xml:space="preserve">FINAL OPERATING STANDARD  </w:t>
      </w:r>
      <w:r>
        <w:t>Use trustworthy evidence, face the cost of the gap, make one controlled decision, assign the correction, and verify the result before calling the system healthy.</w:t>
      </w:r>
    </w:p>
    <w:sectPr w:rsidR="00FC693F" w:rsidRPr="0006063C" w:rsidSect="00034616">
      <w:footerReference w:type="default" r:id="rId9"/>
      <w:pgSz w:w="12240" w:h="15840"/>
      <w:pgMar w:top="1037" w:right="1181" w:bottom="979"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570"/>
        <w:sz w:val="16"/>
      </w:rPr>
      <w:t xml:space="preserve">THE GRAVITY SYSTEM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ptos" w:hAnsi="Aptos"/>
      <w:color w:val="172231"/>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B38B2E"/>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C65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ravityLabel">
    <w:name w:val="Gravity Label"/>
    <w:pPr>
      <w:spacing w:after="40"/>
    </w:pPr>
    <w:rPr>
      <w:rFonts w:ascii="Aptos" w:hAnsi="Aptos"/>
      <w:b/>
      <w:color w:val="B38B2E"/>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