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73"/>
        <w:jc w:val="center"/>
        <w:widowControl w:val="1"/>
      </w:pPr>
      <w:r>
        <w:rPr>
          <w:rFonts w:ascii="Aptos" w:hAnsi="Aptos"/>
          <w:b/>
          <w:i w:val="0"/>
          <w:color w:val="9B7428"/>
          <w:sz w:val="22"/>
        </w:rPr>
        <w:t>THE GRAVITY RESTAURANT LEADERSHIP SYSTEM</w:t>
      </w:r>
    </w:p>
    <w:p>
      <w:pPr>
        <w:spacing w:before="360" w:after="393"/>
        <w:jc w:val="center"/>
        <w:widowControl w:val="1"/>
      </w:pPr>
      <w:r>
        <w:drawing>
          <wp:inline xmlns:a="http://schemas.openxmlformats.org/drawingml/2006/main" xmlns:pic="http://schemas.openxmlformats.org/drawingml/2006/picture">
            <wp:extent cx="2148840" cy="2148840"/>
            <wp:docPr id="1" name="Picture 1" descr="The Gravity System mark" title="The Gravity System mark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gravity-system-mark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148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53"/>
        <w:jc w:val="center"/>
        <w:widowControl w:val="1"/>
      </w:pPr>
      <w:r>
        <w:rPr>
          <w:rFonts w:ascii="Aptos Display" w:hAnsi="Aptos Display"/>
          <w:b/>
          <w:i w:val="0"/>
          <w:color w:val="0B2545"/>
          <w:sz w:val="54"/>
        </w:rPr>
        <w:t>The Gravity Growth and</w:t>
        <w:br/>
        <w:t>Sales Building System</w:t>
      </w:r>
    </w:p>
    <w:p>
      <w:pPr>
        <w:spacing w:after="233"/>
        <w:jc w:val="center"/>
        <w:widowControl w:val="1"/>
      </w:pPr>
      <w:r>
        <w:rPr>
          <w:rFonts w:ascii="Aptos" w:hAnsi="Aptos"/>
          <w:b w:val="0"/>
          <w:i w:val="0"/>
          <w:color w:val="5C6570"/>
          <w:sz w:val="26"/>
        </w:rPr>
        <w:t>A practical operating system for market position, local demand, sales execution, partnerships, conversion, and scalable growth.</w:t>
      </w:r>
    </w:p>
    <w:p>
      <w:pPr>
        <w:spacing w:before="40" w:after="193"/>
        <w:pBdr>
          <w:bottom w:val="single" w:sz="22" w:space="1" w:color="C89B3C"/>
        </w:pBdr>
        <w:widowControl w:val="1"/>
      </w:pPr>
    </w:p>
    <w:p>
      <w:pPr>
        <w:jc w:val="center"/>
        <w:widowControl w:val="1"/>
      </w:pPr>
      <w:r>
        <w:rPr>
          <w:rFonts w:ascii="Aptos" w:hAnsi="Aptos"/>
          <w:b/>
          <w:i w:val="0"/>
          <w:color w:val="9B7428"/>
          <w:sz w:val="20"/>
        </w:rPr>
        <w:t>OPERATING MANUAL</w:t>
      </w:r>
    </w:p>
    <w:p>
      <w:pPr>
        <w:widowControl w:val="1"/>
      </w:pPr>
    </w:p>
    <w:p>
      <w:pPr>
        <w:widowControl w:val="1"/>
      </w:pPr>
    </w:p>
    <w:p>
      <w:pPr>
        <w:widowControl w:val="1"/>
      </w:pPr>
    </w:p>
    <w:p>
      <w:pPr>
        <w:jc w:val="center"/>
        <w:widowControl w:val="1"/>
      </w:pPr>
      <w:r>
        <w:rPr>
          <w:rFonts w:ascii="Aptos" w:hAnsi="Aptos"/>
          <w:b w:val="0"/>
          <w:i w:val="0"/>
          <w:color w:val="5C6570"/>
          <w:sz w:val="19"/>
        </w:rPr>
        <w:t>Published by Thomas Monroe Books</w:t>
        <w:br/>
        <w:t>Author: Thomas Butler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Publishing and Use Notice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Copyright 2026 Thomas Monroe Books. All rights reserved. The Gravity Growth and Sales Building System is a component of The Gravity Restaurant Leadership System.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This product is an operational education and management resource. It is not legal, advertising, marketing, privacy, telecommunications, accessibility, employment, tax, accounting, insurance, food-safety, franchise, platform, or financial advice. It does not guarantee sales, profit, market position, platform ranking, review results, or compliance. Restaurants must obtain </w:t>
      </w:r>
      <w:hyperlink w:anchor="GLOSS_07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qualified review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and adapt the system to their actual markets, channels, offers, operations, locations, data practices, and applicable requirements.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GROWTH DEFINITION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Sustainable growth creates qualified demand, converts it honestly, delivers the promised experience, and produces verified contribution without breaking service, capacity, trust, or compliance.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Inside This Guide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Purpose, boundaries, architecture, ownership, and evidence rules</w:t>
            </w:r>
          </w:p>
        </w:tc>
      </w:tr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II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Market position, local visibility, reputation, and demand generation</w:t>
            </w:r>
          </w:p>
        </w:tc>
      </w:tr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III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Sales pipeline, offers, campaigns, conversion, catering, events, and partnerships</w:t>
            </w:r>
          </w:p>
        </w:tc>
      </w:tr>
      <w:tr>
        <w:trPr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Part IV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Measurement, experiments, scale decisions, installation, tools, and official sources</w:t>
            </w:r>
          </w:p>
        </w:tc>
      </w:tr>
    </w:tbl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The Management Problem This System Solves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Restaurants often try disconnected promotions, social posts, discounts, events, and sales outreach without a shared market choice, </w:t>
      </w:r>
      <w:hyperlink w:anchor="GLOSS_074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qualified pipeline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, financial guardrail, operating-capacity check, or learning </w:t>
      </w:r>
      <w:hyperlink w:anchor="GLOSS_080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record</w:t>
        </w:r>
      </w:hyperlink>
      <w:r>
        <w:rPr>
          <w:rFonts w:ascii="Aptos" w:hAnsi="Aptos"/>
          <w:b w:val="0"/>
          <w:i w:val="0"/>
          <w:color w:val="172231"/>
          <w:sz w:val="21"/>
        </w:rPr>
        <w:t>. Activity rises, but the restaurant cannot tell which work created sustainable demand, which promises can be fulfilled, or what should be repeated.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CENTRAL STANDARD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No growth action is complete until its audience, promise, permission path, capacity, economics, owner, evidence, and next decision are controlled.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The operating loop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Establish the </w:t>
      </w:r>
      <w:hyperlink w:anchor="GLOSS_01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baseline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and choose a market, guest segment, occasion, and growth </w:t>
      </w:r>
      <w:hyperlink w:anchor="GLOSS_06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objective</w:t>
        </w:r>
      </w:hyperlink>
      <w:r>
        <w:rPr>
          <w:rFonts w:ascii="Aptos" w:hAnsi="Aptos"/>
          <w:b w:val="0"/>
          <w:i w:val="0"/>
          <w:color w:val="172231"/>
          <w:sz w:val="21"/>
        </w:rPr>
        <w:t>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Create accurate visibility and a clear value proposition supported by </w:t>
      </w:r>
      <w:hyperlink w:anchor="GLOSS_036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evidence</w:t>
        </w:r>
      </w:hyperlink>
      <w:r>
        <w:rPr>
          <w:rFonts w:ascii="Aptos" w:hAnsi="Aptos"/>
          <w:b w:val="0"/>
          <w:i w:val="0"/>
          <w:color w:val="172231"/>
          <w:sz w:val="21"/>
        </w:rPr>
        <w:t>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Move qualified opportunities through one controlled sales and conversion process.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Verify operating capacity, relationship permission, risk, and contribution before launch or promise.</w:t>
      </w:r>
    </w:p>
    <w:p>
      <w:pPr>
        <w:pStyle w:val="ListNumber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 results, correct the system, and scale only repeatable practices.</w:t>
      </w:r>
    </w:p>
    <w:p>
      <w:pPr>
        <w:pStyle w:val="Heading2"/>
        <w:widowControl w:val="1"/>
        <w:keepNext w:val="1"/>
      </w:pPr>
      <w:r>
        <w:t>What this system is not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It is not a second CRM. Individual contact, permission, suppression, preference, and outreach records remain in GRV-R.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It is not a second profitability system. Contribution, margin, break-even, and financial </w:t>
      </w:r>
      <w:hyperlink w:anchor="GLOSS_10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verification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remain in GRV-P.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It is not a promise that every channel, campaign, offer, or partnership should be used.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It is not permission to manipulate reviews, fabricate scarcity, hide material relationships, or make claims the restaurant cannot prove.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1. System Architecture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Thirty tools are organized into six operating areas. Every tool uses controlled IDs, named ownership, source dates, status language, review dates, and evidence-based decisions.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SYSTEM IDENTITY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Use GRV-G01 through GRV-G30 as the official tool IDs. Detailed personal records belong in GRV-R; growth records use opportunity IDs, campaign IDs, account IDs, and aggregate evidence.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Market position and growth strategy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Baseline and opportunity audit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Trade-area evidence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Segment and occasion choices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Competitive position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Annual goals and priorities</w:t>
      </w:r>
    </w:p>
    <w:p>
      <w:pPr>
        <w:pStyle w:val="Heading2"/>
        <w:widowControl w:val="1"/>
        <w:keepNext w:val="1"/>
      </w:pPr>
      <w:r>
        <w:t>Local visibility and demand generation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Discovery testing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Listing </w:t>
      </w:r>
      <w:hyperlink w:anchor="GLOSS_02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control</w:t>
        </w:r>
      </w:hyperlink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Honest reputation growth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Local content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Community presence</w:t>
      </w:r>
    </w:p>
    <w:p>
      <w:pPr>
        <w:pStyle w:val="Heading2"/>
        <w:widowControl w:val="1"/>
        <w:keepNext w:val="1"/>
      </w:pPr>
      <w:r>
        <w:t>Sales pipeline and revenue development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Opportunity pipeline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Qualification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Needs discovery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Proposals and follow-up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Lost-sale learning</w:t>
      </w:r>
    </w:p>
    <w:p>
      <w:pPr>
        <w:pStyle w:val="Heading2"/>
        <w:widowControl w:val="1"/>
        <w:keepNext w:val="1"/>
      </w:pPr>
      <w:r>
        <w:t>Offers, campaigns, and conversion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Offer guardrails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Campaign approvals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Channel execution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Conversion paths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Results decisions</w:t>
      </w:r>
    </w:p>
    <w:p>
      <w:pPr>
        <w:pStyle w:val="Heading2"/>
        <w:widowControl w:val="1"/>
        <w:keepNext w:val="1"/>
      </w:pPr>
      <w:r>
        <w:t>Catering, events, and partnerships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Catering development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Event sales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Local accounts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Community partnerships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Referral alliances</w:t>
      </w:r>
    </w:p>
    <w:p>
      <w:pPr>
        <w:pStyle w:val="Heading2"/>
        <w:widowControl w:val="1"/>
        <w:keepNext w:val="1"/>
      </w:pPr>
      <w:r>
        <w:t>Measurement, scaling, and renewal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Weekly review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Funnel scorecard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Experiments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Replication tests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Annual renewal</w:t>
      </w:r>
    </w:p>
    <w:p>
      <w:pPr>
        <w:pStyle w:val="Heading1"/>
        <w:pageBreakBefore w:val="0"/>
        <w:widowControl w:val="1"/>
        <w:keepNext w:val="1"/>
      </w:pPr>
      <w:r>
        <w:t>2. Boundaries and System Connections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Growth and Sales Building System coordinates demand creation, but it does not replace the systems that control relationships, profit, service, standards, risk, people, food, or training.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BOUNDARY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Growth may propose. The owning system must approve its controlled subject before launch, sale, or scale.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GRV-R - Guest Relationship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Owns individual guest and prospect identity, consent, channel permission, suppression, preferences, contact history, review response, and follow-up records.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Growth tools may reference a GRV-R record ID but should not duplicate unnecessary personal information.</w:t>
      </w:r>
    </w:p>
    <w:p>
      <w:pPr>
        <w:pStyle w:val="Heading2"/>
        <w:widowControl w:val="1"/>
        <w:keepNext w:val="1"/>
      </w:pPr>
      <w:r>
        <w:t>GRV-P - Performance &amp; Profitability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Owns contribution, margin, offer economics, channel profitability, event profitability, break-even, and financial verification.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Every material offer, campaign, account, or event proposal must use approved GRV-P definitions.</w:t>
      </w:r>
    </w:p>
    <w:p>
      <w:pPr>
        <w:pStyle w:val="Heading2"/>
        <w:widowControl w:val="1"/>
        <w:keepNext w:val="1"/>
      </w:pPr>
      <w:r>
        <w:t>Service, capacity, food, and training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GRV-S verifies that the promised guest experience can be delivered.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GRV-C verifies staffing and labor capacity.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GRV-F verifies product cost, availability, and execution.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GRV-T controls role training and completion evidence.</w:t>
      </w:r>
    </w:p>
    <w:p>
      <w:pPr>
        <w:pStyle w:val="Heading2"/>
        <w:widowControl w:val="1"/>
        <w:keepNext w:val="1"/>
      </w:pPr>
      <w:r>
        <w:t>Standards, intelligence, and continuity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GRV-I controls source </w:t>
      </w:r>
      <w:hyperlink w:anchor="GLOSS_009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authority</w:t>
        </w:r>
      </w:hyperlink>
      <w:r>
        <w:rPr>
          <w:rFonts w:ascii="Aptos" w:hAnsi="Aptos"/>
          <w:b w:val="0"/>
          <w:i w:val="0"/>
          <w:color w:val="172231"/>
          <w:sz w:val="21"/>
        </w:rPr>
        <w:t>, platform/legal monitoring, versions, evidence rules, and approved change.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GRV-RC controls material growth risks, dependencies, response, and continuity plans.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3. Roles and Decision Rights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One person may hold several roles, but every record must still identify the owner of the next result and the approver of material commitments.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OWNERSHIP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A channel, department, agency, or platform cannot own the next result. Use one named person and one dated next action.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Approves growth priorities, budget, market choices, high-impact partnerships, offer authority, and scale decisions.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Reviews strategic risk and contribution with the GM.</w:t>
      </w:r>
    </w:p>
    <w:p>
      <w:pPr>
        <w:pStyle w:val="Heading2"/>
        <w:widowControl w:val="1"/>
        <w:keepNext w:val="1"/>
      </w:pPr>
      <w:r>
        <w:t>General manager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Owns operating feasibility, weekly review, cross-system approvals, and corrective actions.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Stops growth work that compromises service, safety, trust, staffing, or profitability.</w:t>
      </w:r>
    </w:p>
    <w:p>
      <w:pPr>
        <w:pStyle w:val="Heading2"/>
        <w:widowControl w:val="1"/>
        <w:keepNext w:val="1"/>
      </w:pPr>
      <w:r>
        <w:t>Growth 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Maintains the growth plan, visibility evidence, campaign decisions, funnel scorecard, experiments, and roadmap.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Does not bypass GRV-R permission or GRV-P financial control.</w:t>
      </w:r>
    </w:p>
    <w:p>
      <w:pPr>
        <w:pStyle w:val="Heading2"/>
        <w:widowControl w:val="1"/>
        <w:keepNext w:val="1"/>
      </w:pPr>
      <w:r>
        <w:t>Sales, catering, and event 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Qualifies opportunities, conducts discovery, controls proposals, maintains next steps, and completes the operating handoff.</w:t>
      </w:r>
    </w:p>
    <w:p>
      <w:pPr>
        <w:pStyle w:val="Heading2"/>
        <w:widowControl w:val="1"/>
        <w:keepNext w:val="1"/>
      </w:pPr>
      <w:r>
        <w:t>Digital or marketing owner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Maintains accurate profiles, channel plans, content, conversion paths, tracking, and platform compliance evidence.</w:t>
      </w:r>
    </w:p>
    <w:p>
      <w:pPr>
        <w:pStyle w:val="Heading2"/>
        <w:widowControl w:val="1"/>
        <w:keepNext w:val="1"/>
      </w:pPr>
      <w:r>
        <w:t>Operations reviewers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Finance, service, staffing, food, technology, standards, and risk owners approve or reject the part of the promise they control.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4. Evidence, IDs, and Data Standards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system must distinguish verified facts from estimates, interpretations, and untested assumptions.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TRUTH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When the source, time period, definition, or limitation is unknown, mark the result unverified and do not use it as proof.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ID conventions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Opportunities: OPP-YYYY-####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Campaigns: CMP-YYYY-##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Offers: OFF-YYYY-##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Experiments: EXP-YYYY-##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Accounts: ACC-####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Actions: GA-YYYY-####</w:t>
      </w:r>
    </w:p>
    <w:p>
      <w:pPr>
        <w:pStyle w:val="Heading2"/>
        <w:widowControl w:val="1"/>
        <w:keepNext w:val="1"/>
      </w:pPr>
      <w:r>
        <w:t>Evidence standards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 the source, date, owner, and known limitation for market and performance evidence.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Label estimates and do not silently convert them into actual results.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the same funnel stage, value, probability, and conversion definitions across tools.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Retain links or controlled references to supporting evidence.</w:t>
      </w:r>
    </w:p>
    <w:p>
      <w:pPr>
        <w:pStyle w:val="Heading2"/>
        <w:widowControl w:val="1"/>
        <w:keepNext w:val="1"/>
      </w:pPr>
      <w:r>
        <w:t>Data restraint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Keep detailed names, emails, phone numbers, consent, and outreach history in GRV-R.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aggregate market data and controlled IDs in this system.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collect protected, sensitive, or unrelated information to improve targeting.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Secure exports and delete uncontrolled copies according to the restaurant's approved policy.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5. Market Baseline and Trade-Area Choice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Growth begins with a realistic baseline and a market definition that reflects how guests actually reach, choose, and use the restaurant.</w:t>
      </w:r>
    </w:p>
    <w:p>
      <w:pPr>
        <w:pStyle w:val="Heading2"/>
        <w:widowControl w:val="1"/>
        <w:keepNext w:val="1"/>
      </w:pPr>
      <w:r>
        <w:t>Build the baseline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Reconcile sales, traffic, average check, channel mix, daypart, capacity, lead, conversion, and contribution evidence.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Identify missing or conflicting definitions before setting a target.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Separate structural capacity constraints from demand gaps.</w:t>
      </w:r>
    </w:p>
    <w:p>
      <w:pPr>
        <w:pStyle w:val="Heading2"/>
        <w:widowControl w:val="1"/>
        <w:keepNext w:val="1"/>
      </w:pPr>
      <w:r>
        <w:t>Profile the trade area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current population, household, workforce, employer, institution, housing, tourism, event, access, and competitor evidence where relevant.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Map primary and secondary areas by practical travel behavior rather than an arbitrary radius alone.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Identify demand generators and access barriers by daypart and occasion.</w:t>
      </w:r>
    </w:p>
    <w:p>
      <w:pPr>
        <w:pStyle w:val="Heading2"/>
        <w:widowControl w:val="1"/>
        <w:keepNext w:val="1"/>
      </w:pPr>
      <w:r>
        <w:t>Choose the opportunity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Name one priority guest segment and occasion.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State the unmet need or decision factor.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Confirm that the restaurant has a credible offer and capacity.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Assign a measurable 90-day action before adding more research.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6. Segment, Occasion, and Position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useful target is a specific group in a specific situation with a reason to choose the restaurant and a realistic path to reach it.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POSITION TEST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A differentiation statement is useful only when a guest can recognize it and the restaurant can deliver it repeatedly.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Segment by decision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Define the occasion, need, timing, barriers, decision factors, and value potential.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Avoid stereotypes and sensitive inference.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Prioritize segments the restaurant can serve consistently and reach honestly.</w:t>
      </w:r>
    </w:p>
    <w:p>
      <w:pPr>
        <w:pStyle w:val="Heading2"/>
        <w:widowControl w:val="1"/>
        <w:keepNext w:val="1"/>
      </w:pPr>
      <w:r>
        <w:t>Position with proof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Compare the restaurant with the alternatives guests actually consider.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Translate broad claims such as quality, value, or hospitality into observable evidence.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Remove claims that are outdated, exaggerated, or operationally unsupported.</w:t>
      </w:r>
    </w:p>
    <w:p>
      <w:pPr>
        <w:pStyle w:val="Heading2"/>
        <w:widowControl w:val="1"/>
        <w:keepNext w:val="1"/>
      </w:pPr>
      <w:r>
        <w:t>Strategy choice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Choose a limited set of growth bets, channel roles, milestones, and stop rules.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State what the restaurant will not pursue during the period.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Connect every </w:t>
      </w:r>
      <w:hyperlink w:anchor="GLOSS_044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goal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to a GRV-P contribution definition and an operating-capacity check.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7. Local Visibility and Listing Control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Local discovery is an operating asset. Accuracy, verification, accessibility, and a working action path matter before additional promotion.</w:t>
      </w:r>
    </w:p>
    <w:p>
      <w:pPr>
        <w:pStyle w:val="Heading2"/>
        <w:widowControl w:val="1"/>
        <w:keepNext w:val="1"/>
      </w:pPr>
      <w:r>
        <w:t>Discovery test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Test priority searches and discovery paths as a guest would.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Verify name, location, phone, hours, menu, reservation, ordering, access, and contact information.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Confirm that the promise and current experience match.</w:t>
      </w:r>
    </w:p>
    <w:p>
      <w:pPr>
        <w:pStyle w:val="Heading2"/>
        <w:widowControl w:val="1"/>
        <w:keepNext w:val="1"/>
      </w:pPr>
      <w:r>
        <w:t>Local ranking discipline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Improve relevance through accurate categories, attributes, content, and complete information.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Maintain the profile and respond to legitimate questions and reviews.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claim control over distance or guarantee placement in platform results.</w:t>
      </w:r>
    </w:p>
    <w:p>
      <w:pPr>
        <w:pStyle w:val="Heading2"/>
        <w:widowControl w:val="1"/>
        <w:keepNext w:val="1"/>
      </w:pPr>
      <w:r>
        <w:t>Listing governance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Assign an account owner and </w:t>
      </w:r>
      <w:hyperlink w:anchor="GLOSS_081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recovery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access.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 profile IDs, verification state, change dates, evidence links, and next review.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Update holiday hours and material operating changes before guests encounter an error.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8. Honest Reputation and Local Content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Reputation growth should increase honest feedback, accurate expectations, responsible response, and operating learning.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TRUST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The objective is not a perfect-looking reputation. It is an honest reputation the restaurant can learn from and sustain.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Review acquisition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Request reviews from actual guests using a consistent, neutral rule.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ask only guests expected to be positive.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buy or create fake reviews, followers, or influence.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condition an incentive on positive sentiment.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Disclose incentives or material relationships when required and permitted.</w:t>
      </w:r>
    </w:p>
    <w:p>
      <w:pPr>
        <w:pStyle w:val="Heading2"/>
        <w:widowControl w:val="1"/>
        <w:keepNext w:val="1"/>
      </w:pPr>
      <w:r>
        <w:t>Reputation roles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GRV-G owns request strategy, platform visibility, aggregate themes, and growth learning.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GRV-R owns individual review response, guest recovery, permissioned follow-up, and suppression.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Material themes become service or corrective actions in the owning system.</w:t>
      </w:r>
    </w:p>
    <w:p>
      <w:pPr>
        <w:pStyle w:val="Heading2"/>
        <w:widowControl w:val="1"/>
        <w:keepNext w:val="1"/>
      </w:pPr>
      <w:r>
        <w:t>Content standard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Every item identifies audience, occasion, guest value, claim evidence, owner, channel, action, and </w:t>
      </w:r>
      <w:hyperlink w:anchor="GLOSS_00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approval</w:t>
        </w:r>
      </w:hyperlink>
      <w:r>
        <w:rPr>
          <w:rFonts w:ascii="Aptos" w:hAnsi="Aptos"/>
          <w:b w:val="0"/>
          <w:i w:val="0"/>
          <w:color w:val="172231"/>
          <w:sz w:val="21"/>
        </w:rPr>
        <w:t>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Current hours, prices, availability, accessibility, and offer terms must be accurate.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Community and partner content must disclose material relationships when required.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9. Sales Pipeline and Qualification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pipeline is a control system for decisions and next actions, not a list of names or optimistic values.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PIPELINE TRUTH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An opportunity without a qualified need, owner, stage, and next action is not active pipeline.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Pipeline stages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New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Qualified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Discovery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Proposal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Decision pending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Booked/won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Lost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Nurture</w:t>
      </w:r>
    </w:p>
    <w:p>
      <w:pPr>
        <w:pStyle w:val="Heading2"/>
        <w:widowControl w:val="1"/>
        <w:keepNext w:val="1"/>
      </w:pPr>
      <w:r>
        <w:t>Qualification standard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Confirm occasion, outcome, volume, timing, budget, decision process, operating fit, financial fit, risk, and information gaps.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an opportunity ID and store detailed contact records in GRV-R.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Decline or nurture poor-fit opportunities instead of inflating the active pipeline.</w:t>
      </w:r>
    </w:p>
    <w:p>
      <w:pPr>
        <w:pStyle w:val="Heading2"/>
        <w:widowControl w:val="1"/>
        <w:keepNext w:val="1"/>
      </w:pPr>
      <w:r>
        <w:t>Value and probability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approved value definitions.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Assign probability by stage or documented evidence, not seller optimism.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Weighted value supports planning but is not booked revenue.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Every active opportunity requires a dated next action.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10. Discovery, Proposal, and Follow-Up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Sales quality depends on understanding the buyer's outcome and controlling every promise through approval and handoff.</w:t>
      </w:r>
    </w:p>
    <w:p>
      <w:pPr>
        <w:pStyle w:val="Heading2"/>
        <w:widowControl w:val="1"/>
        <w:keepNext w:val="1"/>
      </w:pPr>
      <w:r>
        <w:t>Needs discovery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Ask about the occasion, desired outcome, guests, must-haves, constraints, timing, budget, decision participants, and decision date.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Summarize the need and confirm understanding.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promise capacity, menu, price, access, or service details before verification.</w:t>
      </w:r>
    </w:p>
    <w:p>
      <w:pPr>
        <w:pStyle w:val="Heading2"/>
        <w:widowControl w:val="1"/>
        <w:keepNext w:val="1"/>
      </w:pPr>
      <w:r>
        <w:t>Proposal control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the approved price source and version.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State </w:t>
      </w:r>
      <w:hyperlink w:anchor="GLOSS_09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scope</w:t>
        </w:r>
      </w:hyperlink>
      <w:r>
        <w:rPr>
          <w:rFonts w:ascii="Aptos" w:hAnsi="Aptos"/>
          <w:b w:val="0"/>
          <w:i w:val="0"/>
          <w:color w:val="172231"/>
          <w:sz w:val="21"/>
        </w:rPr>
        <w:t>, inclusions, exclusions, assumptions, terms, expiration, and responsible owner.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Obtain operations and GRV-P approval for material promises.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Connect the booked record to the operating handoff.</w:t>
      </w:r>
    </w:p>
    <w:p>
      <w:pPr>
        <w:pStyle w:val="Heading2"/>
        <w:widowControl w:val="1"/>
        <w:keepNext w:val="1"/>
      </w:pPr>
      <w:r>
        <w:t>Follow-up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Agree on the next step and date rather than repeatedly checking in without value.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Respect permission and reasonable </w:t>
      </w:r>
      <w:hyperlink w:anchor="GLOSS_043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frequency</w:t>
        </w:r>
      </w:hyperlink>
      <w:r>
        <w:rPr>
          <w:rFonts w:ascii="Aptos" w:hAnsi="Aptos"/>
          <w:b w:val="0"/>
          <w:i w:val="0"/>
          <w:color w:val="172231"/>
          <w:sz w:val="21"/>
        </w:rPr>
        <w:t>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 lost reasons using the buyer's evidence when available.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 patterns monthly and correct controllable causes.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11. Offer, Campaign, and Conversion Controls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Promotion is only one form of growth. Every offer and campaign must pass relationship, financial, operating, accessibility, platform, and evidence checks.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CAMPAIGN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A channel result is useful only when the restaurant can trace it to a defined audience, action, conversion, contribution, and operating impact.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Offer guardrails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Define guest value and business objective.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Verify price, contribution, capacity, exclusions, redemption cap, authority, and staff readiness.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Use clear start/end dates and stop rules.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rely on fabricated urgency, hidden terms, or uncontrolled discounting.</w:t>
      </w:r>
    </w:p>
    <w:p>
      <w:pPr>
        <w:pStyle w:val="Heading2"/>
        <w:widowControl w:val="1"/>
        <w:keepNext w:val="1"/>
      </w:pPr>
      <w:r>
        <w:t>Campaign approval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Name the audience, channel, message, claim proof, call to action, budget, owner, tracking, and decision date.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GRV-R must verify permission, suppression, opt-out, and frequency controls for direct contact.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Email and text requirements vary by message, technology, consent, jurisdiction, and current law; obtain qualified review.</w:t>
      </w:r>
    </w:p>
    <w:p>
      <w:pPr>
        <w:pStyle w:val="Heading2"/>
        <w:widowControl w:val="1"/>
        <w:keepNext w:val="1"/>
      </w:pPr>
      <w:r>
        <w:t>Conversion path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Test message match, offer clarity, mobile performance, accessibility, trust cues, speed, contact details, and successful completion.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Correct broken or misleading paths before increasing traffic.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Measure the full path, not only clicks or reach.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12. Catering, Events, Accounts, and Partnerships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These channels grow through fast ownership, a repeatable offer, a credible handoff, and disciplined relationship development.</w:t>
      </w:r>
    </w:p>
    <w:p>
      <w:pPr>
        <w:pStyle w:val="Heading2"/>
        <w:widowControl w:val="1"/>
        <w:keepNext w:val="1"/>
      </w:pPr>
      <w:r>
        <w:t>Catering and events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Choose priority buyers and occasions.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Define products, minimums, lead times, service model, delivery/setup, capacity, and profitability.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Control inquiry response, discovery, proposal, deposit/terms, handoff, fulfillment, follow-up, and renewal.</w:t>
      </w:r>
    </w:p>
    <w:p>
      <w:pPr>
        <w:pStyle w:val="Heading2"/>
        <w:widowControl w:val="1"/>
        <w:keepNext w:val="1"/>
      </w:pPr>
      <w:r>
        <w:t>Local accounts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Develop repeatable needs and approved value for businesses, institutions, associations, teams, schools, and community organizations where appropriate.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Reference detailed contacts in GRV-R and keep account strategy in GRV-G.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Track cadence, opportunities, contribution, service issues, and renewal decisions.</w:t>
      </w:r>
    </w:p>
    <w:p>
      <w:pPr>
        <w:pStyle w:val="Heading2"/>
        <w:widowControl w:val="1"/>
        <w:keepNext w:val="1"/>
      </w:pPr>
      <w:r>
        <w:t>Partnerships and referrals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Define reciprocal value, cost, commitments, attribution, disclosure, permission, handoff, service </w:t>
      </w:r>
      <w:hyperlink w:anchor="GLOSS_095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standard</w:t>
        </w:r>
      </w:hyperlink>
      <w:r>
        <w:rPr>
          <w:rFonts w:ascii="Aptos" w:hAnsi="Aptos"/>
          <w:b w:val="0"/>
          <w:i w:val="0"/>
          <w:color w:val="172231"/>
          <w:sz w:val="21"/>
        </w:rPr>
        <w:t>, and review date.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 not exchange contact data without an approved lawful basis and appropriate permission.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Reject partnerships that create misleading endorsements, unsafe demand, unmanaged obligations, or weak brand fit.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13. Funnel, Metrics, and Weekly Review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Metrics are management questions expressed as consistent evidence. They are useful only when definitions, periods, sources, and decisions are clear.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hyperlink w:anchor="GLOSS_061" w:history="1">
              <w:r>
                <w:rPr>
                  <w:rFonts w:ascii="Aptos" w:hAnsi="Aptos"/>
                  <w:b/>
                  <w:i w:val="0"/>
                  <w:color w:val="0563C1"/>
                  <w:sz w:val="19"/>
                  <w:u w:val="single"/>
                </w:rPr>
                <w:t>METRIC</w:t>
              </w:r>
            </w:hyperlink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Never present a growth percentage, conversion rate, pipeline value, campaign result, or return measure without its definition, time period, source, and known limitations.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Core funnel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Visibility or reach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Response or inquiry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Qualified opportunity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Proposal or defined conversion step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Booking or conversion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Sales and contribution</w:t>
      </w:r>
    </w:p>
    <w:p>
      <w:pPr>
        <w:pStyle w:val="Heading2"/>
        <w:widowControl w:val="1"/>
        <w:keepNext w:val="1"/>
      </w:pPr>
      <w:r>
        <w:t>Core controls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Qualified pipeline value and weighted value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Stage conversion rates and cycle time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Proposal aging and lost reasons</w:t>
      </w:r>
    </w:p>
    <w:p>
      <w:pPr>
        <w:pStyle w:val="ListBullet"/>
        <w:keepLines/>
        <w:widowControl w:val="1"/>
      </w:pPr>
      <w:hyperlink w:anchor="GLOSS_017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Campaign conversion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and contribution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Catering/event/account pipeline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Offer guardrail failures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Overdue actions and reviews</w:t>
      </w:r>
    </w:p>
    <w:p>
      <w:pPr>
        <w:pStyle w:val="Heading2"/>
        <w:widowControl w:val="1"/>
        <w:keepNext w:val="1"/>
      </w:pPr>
      <w:r>
        <w:t>Weekly review sequence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Verify the data cutoff and definitions.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Review exceptions and the largest funnel leak.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Decide the next action for priority opportunities, campaigns, events, and experiments.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Resolve cross-system approvals and blockers.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Assign owners, due dates, evidence, and </w:t>
      </w:r>
      <w:hyperlink w:anchor="GLOSS_034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escalation</w:t>
        </w:r>
      </w:hyperlink>
      <w:r>
        <w:rPr>
          <w:rFonts w:ascii="Aptos" w:hAnsi="Aptos"/>
          <w:b w:val="0"/>
          <w:i w:val="0"/>
          <w:color w:val="172231"/>
          <w:sz w:val="21"/>
        </w:rPr>
        <w:t>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14. Experiments, Scaling, and Renewal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 successful result becomes a scalable practice only after the restaurant can explain, repeat, support, and verify it.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SCALE RULE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One strong result is evidence for another controlled test, not automatic permission to expand.</w:t>
            </w:r>
          </w:p>
        </w:tc>
      </w:tr>
    </w:tbl>
    <w:p>
      <w:pPr>
        <w:spacing w:after="0"/>
        <w:widowControl w:val="1"/>
      </w:pPr>
    </w:p>
    <w:p>
      <w:pPr>
        <w:pStyle w:val="Heading2"/>
        <w:widowControl w:val="1"/>
        <w:keepNext w:val="1"/>
      </w:pPr>
      <w:r>
        <w:t>Experiment standard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State a falsifiable hypothesis, baseline, change, primary measure, safeguards, minimum evidence, owner, and dates.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Change one important variable when practical.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Record limitations and unintended operating effects.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Choose adopt, revise, retest, or stop.</w:t>
      </w:r>
    </w:p>
    <w:p>
      <w:pPr>
        <w:pStyle w:val="Heading2"/>
        <w:widowControl w:val="1"/>
        <w:keepNext w:val="1"/>
      </w:pPr>
      <w:r>
        <w:t>Replication test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Document the steps, inputs, training, timing, system dependencies, costs, capacity, service standard, and verification method.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 xml:space="preserve">Run a controlled </w:t>
      </w:r>
      <w:hyperlink w:anchor="GLOSS_072" w:history="1">
        <w:r>
          <w:rPr>
            <w:rFonts w:ascii="Aptos" w:hAnsi="Aptos"/>
            <w:b w:val="0"/>
            <w:i w:val="0"/>
            <w:color w:val="0563C1"/>
            <w:sz w:val="21"/>
            <w:u w:val="single"/>
          </w:rPr>
          <w:t>pilot</w:t>
        </w:r>
      </w:hyperlink>
      <w:r>
        <w:rPr>
          <w:rFonts w:ascii="Aptos" w:hAnsi="Aptos"/>
          <w:b w:val="0"/>
          <w:i w:val="0"/>
          <w:color w:val="172231"/>
          <w:sz w:val="21"/>
        </w:rPr>
        <w:t xml:space="preserve"> in another period or location.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Confirm GRV-P economics and operating quality before expansion.</w:t>
      </w:r>
    </w:p>
    <w:p>
      <w:pPr>
        <w:pStyle w:val="Heading2"/>
        <w:widowControl w:val="1"/>
        <w:keepNext w:val="1"/>
      </w:pPr>
      <w:r>
        <w:t>Annual renewal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Protect proven practices.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Retire weak, duplicate, outdated, or vanity work.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Choose a small number of priorities for the next 180 days.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Reset owners, milestones, budgets, review dates, and stop rules.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15. 60-Day Guided Installation Plan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Install the system in phases so leaders can use the evidence and cadence before volume expands.</w:t>
      </w:r>
    </w:p>
    <w:p>
      <w:pPr>
        <w:pStyle w:val="Heading2"/>
        <w:widowControl w:val="1"/>
        <w:keepNext w:val="1"/>
      </w:pPr>
      <w:r>
        <w:t>Days 1-30 - baseline and control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Approve boundaries, IDs, definitions, roles, permission paths, financial rules, capacity gates, and official sources.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Launch GRV-G01, G02, G03, G04, G05, G11, G26, and G30.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Clean current listings and active pipeline records.</w:t>
      </w:r>
    </w:p>
    <w:p>
      <w:pPr>
        <w:pStyle w:val="Heading2"/>
        <w:widowControl w:val="1"/>
        <w:keepNext w:val="1"/>
      </w:pPr>
      <w:r>
        <w:t>Days 31-60 - visibility and conversion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Launch G06 through G10 and G12 through G20.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Correct inaccurate discovery paths before increasing promotion.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Run the first weekly review and monthly funnel scorecard.</w:t>
      </w:r>
    </w:p>
    <w:p>
      <w:pPr>
        <w:pStyle w:val="Heading2"/>
        <w:widowControl w:val="1"/>
        <w:keepNext w:val="1"/>
      </w:pPr>
      <w:r>
        <w:t>Days 61-90 - channels and learning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Launch G21 through G29 based on real priorities.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Complete one controlled growth experiment and one lost-sale review.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Decide what to continue, change, stop, or prepare for replication.</w:t>
      </w:r>
    </w:p>
    <w:p>
      <w:pPr>
        <w:pStyle w:val="Heading2"/>
        <w:widowControl w:val="1"/>
        <w:keepNext w:val="1"/>
      </w:pPr>
      <w:r>
        <w:t>Advance only when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Active records have owners and dated next actions.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GRV-R permission and GRV-P financial controls are working.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Capacity and service checks occur before promises.</w:t>
      </w:r>
    </w:p>
    <w:p>
      <w:pPr>
        <w:pStyle w:val="ListBullet"/>
        <w:keepLines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 scorecard reconciles to approved sources and definitions.</w:t>
      </w:r>
    </w:p>
    <w:p>
      <w:pPr>
        <w:widowControl w:val="1"/>
      </w:pPr>
      <w:r>
        <w:br w:type="page"/>
      </w:r>
    </w:p>
    <w:p>
      <w:pPr>
        <w:pStyle w:val="Heading1"/>
        <w:widowControl w:val="1"/>
        <w:keepNext w:val="1"/>
      </w:pPr>
      <w:r>
        <w:t>16. Complete Tool Directory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900"/>
        <w:gridCol w:w="5460"/>
      </w:tblGrid>
      <w:tr>
        <w:trPr>
          <w:tblHeader w:val="true"/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r>
              <w:rPr>
                <w:rFonts w:ascii="Aptos" w:hAnsi="Aptos"/>
                <w:b/>
                <w:i w:val="0"/>
                <w:color w:val="FFFFFF"/>
                <w:sz w:val="19"/>
              </w:rPr>
              <w:t>Tool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r>
              <w:rPr>
                <w:rFonts w:ascii="Aptos" w:hAnsi="Aptos"/>
                <w:b/>
                <w:i w:val="0"/>
                <w:color w:val="FFFFFF"/>
                <w:sz w:val="19"/>
              </w:rPr>
              <w:t>Area / owner / frequency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GRV-G01 | Growth Baseline &amp; Opportunity Audit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Market Position &amp; Growth Strategy | Owner: GM/Owner | Frequency: Quarterly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GRV-G02 | Market &amp; Trade Area Profile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Market Position &amp; Growth Strategy | Owner: Growth Owner | Frequency: Semiannual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GRV-G03 | Guest Segment &amp; Occasion Map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Market Position &amp; Growth Strategy | Owner: Growth Owner | Frequency: Quarterly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GRV-G04 | Competitive Position &amp; Differentiation Review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Market Position &amp; Growth Strategy | Owner: GM/Owner | Frequency: Quarterly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GRV-G05 | Annual Growth Strategy &amp; Revenue Goal Map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Market Position &amp; Growth Strategy | Owner: Owner/GM | Frequency: Annual; monthly review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GRV-G06 | Local Visibility &amp; Discovery Audit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Local Visibility &amp; Demand Generation | Owner: Growth Owner | Frequency: Monthly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GRV-G07 | Local Listing &amp; Search Presence Control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Local Visibility &amp; Demand Generation | Owner: Digital Owner | Frequency: Monthly and at change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GRV-G08 | Reputation &amp; Review Growth Plan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Local Visibility &amp; Demand Generation | Owner: GM/Growth Owner | Frequency: Monthly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GRV-G09 | Local Content &amp; Promotion Calendar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Local Visibility &amp; Demand Generation | Owner: Marketing Owner | Frequency: Monthly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GRV-G10 | Community Presence &amp; Local Outreach Planner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Local Visibility &amp; Demand Generation | Owner: GM/Growth Owner | Frequency: Monthly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GRV-G11 | Sales Channel &amp; Opportunity Pipeline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Sales Pipeline &amp; Revenue Development | Owner: Sales Owner | Frequency: Weekly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GRV-G12 | Lead Qualification &amp; Priority Worksheet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Sales Pipeline &amp; Revenue Development | Owner: Sales Owner | Frequency: At qualification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GRV-G13 | Sales Conversation &amp; Needs Discovery Guide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Sales Pipeline &amp; Revenue Development | Owner: Sales/Event Owner | Frequency: Per qualified opportunity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GRV-G14 | Proposal, Quote &amp; Follow-Up Planner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Sales Pipeline &amp; Revenue Development | Owner: Sales/Event Owner | Frequency: Per proposal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GRV-G15 | Lost Sale, Objection &amp; Conversion Review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Sales Pipeline &amp; Revenue Development | Owner: Sales Owner | Frequency: Weekly/monthly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GRV-G16 | Offer Strategy &amp; Guardrail Worksheet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Offers, Campaigns &amp; Conversion | Owner: GM/Growth Owner | Frequency: Per offer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GRV-G17 | Campaign Brief &amp; Approval Plan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Offers, Campaigns &amp; Conversion | Owner: Marketing Owner | Frequency: Per campaign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GRV-G18 | Channel-Specific Campaign Planner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Offers, Campaigns &amp; Conversion | Owner: Marketing Owner | Frequency: Per channel/campaign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GRV-G19 | Conversion Path &amp; Landing Experience Review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Offers, Campaigns &amp; Conversion | Owner: Growth/Digital Owner | Frequency: Per campaign; quarterly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GRV-G20 | Campaign Results &amp; Next-Best-Action Review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Offers, Campaigns &amp; Conversion | Owner: Growth Owner | Frequency: Per campaign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GRV-G21 | Catering Sales Development Plan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Catering, Events &amp; Partnerships | Owner: Catering Owner | Frequency: Quarterly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GRV-G22 | Private Dining &amp; Event Sales Planner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Catering, Events &amp; Partnerships | Owner: Event Owner | Frequency: Weekly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GRV-G23 | Local Business &amp; Organizational Account Plan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Catering, Events &amp; Partnerships | Owner: Sales Owner | Frequency: Monthly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GRV-G24 | Community Partnership &amp; Sponsorship Review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Catering, Events &amp; Partnerships | Owner: GM/Owner | Frequency: Per opportunity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GRV-G25 | Referral &amp; Strategic Alliance Plan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Catering, Events &amp; Partnerships | Owner: Growth Owner | Frequency: Quarterly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GRV-G26 | Weekly Growth &amp; Sales Review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Measurement, Scaling &amp; Renewal | Owner: GM/Growth Owner | Frequency: Weekly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GRV-G27 | Growth Funnel &amp; Conversion Scorecard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Measurement, Scaling &amp; Renewal | Owner: Growth Analyst/GM | Frequency: Monthly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GRV-G28 | Growth Experiment &amp; Learning Log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Measurement, Scaling &amp; Renewal | Owner: Growth Owner | Frequency: Per experiment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GRV-G29 | Scalable Growth Playbook &amp; Replication Test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Measurement, Scaling &amp; Renewal | Owner: Owner/Operations | Frequency: Per scale decision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GRV-G30 | Annual Growth Renewal &amp; 180-Day Roadmap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ptos" w:hAnsi="Aptos"/>
                <w:b w:val="0"/>
                <w:i w:val="0"/>
                <w:color w:val="172231"/>
                <w:sz w:val="19"/>
              </w:rPr>
              <w:t>Measurement, Scaling &amp; Renewal | Owner: Owner/GM | Frequency: Annual</w:t>
            </w:r>
          </w:p>
        </w:tc>
      </w:tr>
    </w:tbl>
    <w:p>
      <w:pPr>
        <w:pStyle w:val="Heading1"/>
        <w:pageBreakBefore w:val="0"/>
        <w:widowControl w:val="1"/>
        <w:keepNext w:val="1"/>
      </w:pPr>
      <w:r>
        <w:t>17. Official Source and Compliance References</w:t>
      </w:r>
    </w:p>
    <w:p>
      <w:pPr>
        <w:spacing w:after="113"/>
        <w:widowControl w:val="1"/>
      </w:pPr>
      <w:r>
        <w:rPr>
          <w:rFonts w:ascii="Aptos" w:hAnsi="Aptos"/>
          <w:b w:val="0"/>
          <w:i w:val="0"/>
          <w:color w:val="172231"/>
          <w:sz w:val="21"/>
        </w:rPr>
        <w:t>These sources support the system's general market-research, local-discovery, advertising, communication, review, endorsement, and accessibility guardrails. Requirements and platform features change. Use GRV-I to monitor source authority and obtain qualified review for actual practices.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900"/>
        <w:gridCol w:w="5460"/>
      </w:tblGrid>
      <w:tr>
        <w:trPr>
          <w:tblHeader w:val="true"/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r>
              <w:rPr>
                <w:rFonts w:ascii="Aptos" w:hAnsi="Aptos"/>
                <w:b/>
                <w:i w:val="0"/>
                <w:color w:val="FFFFFF"/>
                <w:sz w:val="19"/>
              </w:rPr>
              <w:t>Reference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shd w:fill="0B2545"/>
          </w:tcPr>
          <w:p>
            <w:r>
              <w:rPr>
                <w:rFonts w:ascii="Aptos" w:hAnsi="Aptos"/>
                <w:b/>
                <w:i w:val="0"/>
                <w:color w:val="FFFFFF"/>
                <w:sz w:val="19"/>
              </w:rPr>
              <w:t>Official URL</w:t>
            </w:r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FTC - Advertising and Marketing Basics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2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https://www.ftc.gov/business-guidance/advertising-marketing/advertising-marketing-basics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FTC - Online Advertising and Marketing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3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https://www.ftc.gov/business-guidance/advertising-marketing/online-advertising-marketing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FTC - CAN-SPAM Act: A Compliance Guide for Business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4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https://www.ftc.gov/business-guidance/resources/can-spam-act-compliance-guide-business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FTC - Consumer Reviews and Testimonials Rule Q&amp;A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5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https://www.ftc.gov/business-guidance/resources/consumer-reviews-testimonials-rule-questions-answers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FTC - Endorsement Guides Q&amp;A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6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https://www.ftc.gov/business-guidance/resources/ftcs-endorsement-guides-what-people-are-asking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FCC - Stop Unwanted Robocalls and Texts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7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https://www.fcc.gov/consumers/guides/stop-unwanted-robocalls-and-texts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Google Business Profile Help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8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https://support.google.com/business/?hl=en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Google - Tips to Improve Local Ranking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19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https://support.google.com/business/answer/7091?hl=en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Google - Manage Customer Reviews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0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https://support.google.com/business/answer/3474050?hl=en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U.S. Department of Justice - Web Accessibility Guidance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1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https://www.ada.gov/resources/web-guidance/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U.S. Census Bureau - Census Business Builder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2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https://www.census.gov/data/data-tools/cbb.html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U.S. Census Bureau - data.census.gov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3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https://data.census.gov/</w:t>
              </w:r>
            </w:hyperlink>
          </w:p>
        </w:tc>
      </w:tr>
      <w:tr>
        <w:trPr>
          <w:cantSplit/>
        </w:trPr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  <w:vAlign w:val="center"/>
          </w:tcPr>
          <w:p>
            <w:r>
              <w:rPr>
                <w:rFonts w:ascii="Aptos" w:hAnsi="Aptos"/>
                <w:b/>
                <w:i w:val="0"/>
                <w:color w:val="0B2545"/>
                <w:sz w:val="19"/>
              </w:rPr>
              <w:t>U.S. Small Business Administration - Plan Your Business</w:t>
            </w:r>
          </w:p>
        </w:tc>
        <w:tc>
          <w:tcPr>
            <w:tcW w:type="dxa" w:w="5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hyperlink r:id="rId24">
              <w:r>
                <w:rPr>
                  <w:rFonts w:ascii="Aptos" w:hAnsi="Aptos"/>
                  <w:b w:val="0"/>
                  <w:i w:val="0"/>
                  <w:color w:val="0563C1"/>
                  <w:sz w:val="19"/>
                  <w:u w:val="single"/>
                </w:rPr>
                <w:t>https://www.sba.gov/counseling/plan-your-business/</w:t>
              </w:r>
            </w:hyperlink>
          </w:p>
        </w:tc>
      </w:tr>
    </w:tbl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rPr>
          <w:cantSplit/>
        </w:trP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shd w:fill="F7F1E3"/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9B7428"/>
                <w:sz w:val="19"/>
              </w:rPr>
              <w:t xml:space="preserve">FINAL OPERATING STANDARD  </w:t>
            </w:r>
            <w:r>
              <w:rPr>
                <w:rFonts w:ascii="Aptos" w:hAnsi="Aptos"/>
                <w:b/>
                <w:i w:val="0"/>
                <w:color w:val="0B2545"/>
                <w:sz w:val="21"/>
              </w:rPr>
              <w:t>Choose the market deliberately, make an honest promise, qualify the opportunity, control the handoff, verify contribution, learn from evidence, and scale only what the restaurant can repeat.</w:t>
            </w:r>
          </w:p>
        </w:tc>
      </w:tr>
    </w:tbl>
    <w:p>
      <w:pPr>
        <w:spacing w:after="0" w:before="0" w:line="20" w:lineRule="exact"/>
        <w:widowControl w:val="1"/>
      </w:pPr>
    </w:p>
    <w:p>
      <w:r>
        <w:br w:type="page"/>
      </w:r>
    </w:p>
    <w:p>
      <w:bookmarkStart w:id="9000" w:name="GRAVITY_GLOSSARY"/>
      <w:pPr>
        <w:pStyle w:val="Heading1"/>
      </w:pPr>
      <w:r>
        <w:t>Linked Glossary</w:t>
      </w:r>
      <w:bookmarkEnd w:id="9000"/>
    </w:p>
    <w:p>
      <w:r>
        <w:t>Select linked terms in the digital manual to move to their definitions. Definitions describe how the Gravity System uses each term; they do not replace qualified legal, regulatory, financial, safety, employment, or professional interpretation.</w:t>
      </w:r>
    </w:p>
    <w:p>
      <w:bookmarkStart w:id="9100" w:name="GLOSS_001"/>
      <w:pPr>
        <w:pStyle w:val="Heading2"/>
      </w:pPr>
      <w:bookmarkEnd w:id="9100"/>
      <w:r>
        <w:rPr>
          <w:b/>
        </w:rPr>
        <w:t>Accountable owner (GLOSS-001)</w:t>
      </w:r>
    </w:p>
    <w:p>
      <w:r>
        <w:t>The person ultimately responsible for ensuring that a required result is achieved. Work may be assigned to others, but accountability remains with this person.</w:t>
      </w:r>
    </w:p>
    <w:p>
      <w:bookmarkStart w:id="9101" w:name="GLOSS_002"/>
      <w:pPr>
        <w:pStyle w:val="Heading2"/>
      </w:pPr>
      <w:bookmarkEnd w:id="9101"/>
      <w:r>
        <w:rPr>
          <w:b/>
        </w:rPr>
        <w:t>Action owner (GLOSS-002)</w:t>
      </w:r>
    </w:p>
    <w:p>
      <w:r>
        <w:t>The person assigned to complete a specific action, provide the required evidence, and report its status by the due date.</w:t>
      </w:r>
    </w:p>
    <w:p>
      <w:bookmarkStart w:id="9102" w:name="GLOSS_005"/>
      <w:pPr>
        <w:pStyle w:val="Heading2"/>
      </w:pPr>
      <w:bookmarkEnd w:id="9102"/>
      <w:r>
        <w:rPr>
          <w:b/>
        </w:rPr>
        <w:t>Approval (GLOSS-005)</w:t>
      </w:r>
    </w:p>
    <w:p>
      <w:r>
        <w:t>A documented decision by a person with the authority to accept, reject, release, or change a defined item.</w:t>
      </w:r>
    </w:p>
    <w:p>
      <w:bookmarkStart w:id="9103" w:name="GLOSS_006"/>
      <w:pPr>
        <w:pStyle w:val="Heading2"/>
      </w:pPr>
      <w:bookmarkEnd w:id="9103"/>
      <w:r>
        <w:rPr>
          <w:b/>
        </w:rPr>
        <w:t>Approved version (GLOSS-006)</w:t>
      </w:r>
    </w:p>
    <w:p>
      <w:r>
        <w:t>The currently authorized form, standard, process, workbook, or document identified through version control.</w:t>
      </w:r>
    </w:p>
    <w:p>
      <w:bookmarkStart w:id="9104" w:name="GLOSS_009"/>
      <w:pPr>
        <w:pStyle w:val="Heading2"/>
      </w:pPr>
      <w:bookmarkEnd w:id="9104"/>
      <w:r>
        <w:rPr>
          <w:b/>
        </w:rPr>
        <w:t>Authority (GLOSS-009)</w:t>
      </w:r>
    </w:p>
    <w:p>
      <w:r>
        <w:t>The legitimate right to make, approve, stop, escalate, or change a decision within defined limits.</w:t>
      </w:r>
    </w:p>
    <w:p>
      <w:bookmarkStart w:id="9105" w:name="GLOSS_012"/>
      <w:pPr>
        <w:pStyle w:val="Heading2"/>
      </w:pPr>
      <w:bookmarkEnd w:id="9105"/>
      <w:r>
        <w:rPr>
          <w:b/>
        </w:rPr>
        <w:t>Baseline (GLOSS-012)</w:t>
      </w:r>
    </w:p>
    <w:p>
      <w:r>
        <w:t>The documented starting condition used to compare later performance, adoption, risk, or results.</w:t>
      </w:r>
    </w:p>
    <w:p>
      <w:bookmarkStart w:id="9106" w:name="GLOSS_017"/>
      <w:pPr>
        <w:pStyle w:val="Heading2"/>
      </w:pPr>
      <w:bookmarkEnd w:id="9106"/>
      <w:r>
        <w:rPr>
          <w:b/>
        </w:rPr>
        <w:t>Campaign conversion (GLOSS-017)</w:t>
      </w:r>
    </w:p>
    <w:p>
      <w:r>
        <w:t>Campaign conversions divided by reach/delivered.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</w:t>
      </w:r>
    </w:p>
    <w:p>
      <w:bookmarkStart w:id="9107" w:name="GLOSS_018"/>
      <w:pPr>
        <w:pStyle w:val="Heading2"/>
      </w:pPr>
      <w:bookmarkEnd w:id="9107"/>
      <w:r>
        <w:rPr>
          <w:b/>
        </w:rPr>
        <w:t>Closeout (GLOSS-018)</w:t>
      </w:r>
    </w:p>
    <w:p>
      <w:r>
        <w:t>The documented decision that an action, issue, incident, or implementation is complete, including evidence, verification, date, and remaining follow-up.</w:t>
      </w:r>
    </w:p>
    <w:p>
      <w:bookmarkStart w:id="9108" w:name="GLOSS_022"/>
      <w:pPr>
        <w:pStyle w:val="Heading2"/>
      </w:pPr>
      <w:bookmarkEnd w:id="9108"/>
      <w:r>
        <w:rPr>
          <w:b/>
        </w:rPr>
        <w:t>Control (GLOSS-022)</w:t>
      </w:r>
    </w:p>
    <w:p>
      <w:r>
        <w:t>A designed action, rule, approval, check, restriction, or record intended to prevent, detect, correct, or contain an unacceptable result.</w:t>
      </w:r>
    </w:p>
    <w:p>
      <w:bookmarkStart w:id="9109" w:name="GLOSS_026"/>
      <w:pPr>
        <w:pStyle w:val="Heading2"/>
      </w:pPr>
      <w:bookmarkEnd w:id="9109"/>
      <w:r>
        <w:rPr>
          <w:b/>
        </w:rPr>
        <w:t>Corrective action (GLOSS-026)</w:t>
      </w:r>
    </w:p>
    <w:p>
      <w:r>
        <w:t>A documented response intended to eliminate, reduce, or control the cause of a confirmed problem, with an owner, due date, evidence, and effectiveness review.</w:t>
      </w:r>
    </w:p>
    <w:p>
      <w:bookmarkStart w:id="9110" w:name="GLOSS_029"/>
      <w:pPr>
        <w:pStyle w:val="Heading2"/>
      </w:pPr>
      <w:bookmarkEnd w:id="9110"/>
      <w:r>
        <w:rPr>
          <w:b/>
        </w:rPr>
        <w:t>Decision rights (GLOSS-029)</w:t>
      </w:r>
    </w:p>
    <w:p>
      <w:r>
        <w:t>The defined boundaries identifying who may decide, approve, recommend, perform, stop, or escalate a matter.</w:t>
      </w:r>
    </w:p>
    <w:p>
      <w:bookmarkStart w:id="9111" w:name="GLOSS_034"/>
      <w:pPr>
        <w:pStyle w:val="Heading2"/>
      </w:pPr>
      <w:bookmarkEnd w:id="9111"/>
      <w:r>
        <w:rPr>
          <w:b/>
        </w:rPr>
        <w:t>Escalation (GLOSS-034)</w:t>
      </w:r>
    </w:p>
    <w:p>
      <w:r>
        <w:t>A controlled transfer of a decision or issue to a person with greater authority, expertise, or responsibility because a threshold, deadline, risk, or boundary has been reached.</w:t>
      </w:r>
    </w:p>
    <w:p>
      <w:bookmarkStart w:id="9112" w:name="GLOSS_036"/>
      <w:pPr>
        <w:pStyle w:val="Heading2"/>
      </w:pPr>
      <w:bookmarkEnd w:id="9112"/>
      <w:r>
        <w:rPr>
          <w:b/>
        </w:rPr>
        <w:t>Evidence (GLOSS-036)</w:t>
      </w:r>
    </w:p>
    <w:p>
      <w:r>
        <w:t>Reliable information showing what occurred, what was decided, whether a requirement was met, or whether a result was achieved.</w:t>
      </w:r>
    </w:p>
    <w:p>
      <w:bookmarkStart w:id="9113" w:name="GLOSS_038"/>
      <w:pPr>
        <w:pStyle w:val="Heading2"/>
      </w:pPr>
      <w:bookmarkEnd w:id="9113"/>
      <w:r>
        <w:rPr>
          <w:b/>
        </w:rPr>
        <w:t>Exception (GLOSS-038)</w:t>
      </w:r>
    </w:p>
    <w:p>
      <w:r>
        <w:t>An approved, limited, and time-bound departure from a standard, supported by authority, rationale, compensating controls, and review.</w:t>
      </w:r>
    </w:p>
    <w:p>
      <w:bookmarkStart w:id="9114" w:name="GLOSS_040"/>
      <w:pPr>
        <w:pStyle w:val="Heading2"/>
      </w:pPr>
      <w:bookmarkEnd w:id="9114"/>
      <w:r>
        <w:rPr>
          <w:b/>
        </w:rPr>
        <w:t>Experiment lift (GLOSS-040)</w:t>
      </w:r>
    </w:p>
    <w:p>
      <w:r>
        <w:t>Result minus baseline divided by baseline; interpret with test limitations.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</w:t>
      </w:r>
    </w:p>
    <w:p>
      <w:bookmarkStart w:id="9115" w:name="GLOSS_043"/>
      <w:pPr>
        <w:pStyle w:val="Heading2"/>
      </w:pPr>
      <w:bookmarkEnd w:id="9115"/>
      <w:r>
        <w:rPr>
          <w:b/>
        </w:rPr>
        <w:t>Frequency (GLOSS-043)</w:t>
      </w:r>
    </w:p>
    <w:p>
      <w:r>
        <w:t>The required completion rhythm for a control or tool, such as per event, daily, weekly, monthly, quarterly, annually, or when a defined change occurs.</w:t>
      </w:r>
    </w:p>
    <w:p>
      <w:bookmarkStart w:id="9116" w:name="GLOSS_044"/>
      <w:pPr>
        <w:pStyle w:val="Heading2"/>
      </w:pPr>
      <w:bookmarkEnd w:id="9116"/>
      <w:r>
        <w:rPr>
          <w:b/>
        </w:rPr>
        <w:t>Goal (GLOSS-044)</w:t>
      </w:r>
    </w:p>
    <w:p>
      <w:r>
        <w:t>A defined result the restaurant intends to achieve, supported by scope, ownership, measures, timing, and acceptance criteria.</w:t>
      </w:r>
    </w:p>
    <w:p>
      <w:bookmarkStart w:id="9117" w:name="GLOSS_045"/>
      <w:pPr>
        <w:pStyle w:val="Heading2"/>
      </w:pPr>
      <w:bookmarkEnd w:id="9117"/>
      <w:r>
        <w:rPr>
          <w:b/>
        </w:rPr>
        <w:t>Gravity standard (GLOSS-045)</w:t>
      </w:r>
    </w:p>
    <w:p>
      <w:r>
        <w:t>An approved Gravity requirement or operating expectation that remains subordinate to applicable law, regulation, official authority, contract, and platform rules.</w:t>
      </w:r>
    </w:p>
    <w:p>
      <w:bookmarkStart w:id="9118" w:name="GLOSS_047"/>
      <w:pPr>
        <w:pStyle w:val="Heading2"/>
      </w:pPr>
      <w:bookmarkEnd w:id="9118"/>
      <w:r>
        <w:rPr>
          <w:b/>
        </w:rPr>
        <w:t>Implementation (GLOSS-047)</w:t>
      </w:r>
    </w:p>
    <w:p>
      <w:r>
        <w:t>The controlled process of turning an approved goal or standard into configured tools, trained behavior, operating practice, evidence, verification, and sustainment.</w:t>
      </w:r>
    </w:p>
    <w:p>
      <w:bookmarkStart w:id="9119" w:name="GLOSS_055"/>
      <w:pPr>
        <w:pStyle w:val="Heading2"/>
      </w:pPr>
      <w:bookmarkEnd w:id="9119"/>
      <w:r>
        <w:rPr>
          <w:b/>
        </w:rPr>
        <w:t>Listing readiness (GLOSS-055)</w:t>
      </w:r>
    </w:p>
    <w:p>
      <w:r>
        <w:t>All required listing accuracy and ownership controls complete.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</w:t>
      </w:r>
    </w:p>
    <w:p>
      <w:bookmarkStart w:id="9120" w:name="GLOSS_061"/>
      <w:pPr>
        <w:pStyle w:val="Heading2"/>
      </w:pPr>
      <w:bookmarkEnd w:id="9120"/>
      <w:r>
        <w:rPr>
          <w:b/>
        </w:rPr>
        <w:t>Metric (GLOSS-061)</w:t>
      </w:r>
    </w:p>
    <w:p>
      <w:r>
        <w:t>A defined measurement calculated from identified data using an approved formula, period, scope, source, and interpretation rule.</w:t>
      </w:r>
    </w:p>
    <w:p>
      <w:bookmarkStart w:id="9121" w:name="GLOSS_063"/>
      <w:pPr>
        <w:pStyle w:val="Heading2"/>
      </w:pPr>
      <w:bookmarkEnd w:id="9121"/>
      <w:r>
        <w:rPr>
          <w:b/>
        </w:rPr>
        <w:t>Objective (GLOSS-063)</w:t>
      </w:r>
    </w:p>
    <w:p>
      <w:r>
        <w:t>A specific result or condition that supports a larger goal and can be evaluated through defined evidence.</w:t>
      </w:r>
    </w:p>
    <w:p>
      <w:bookmarkStart w:id="9122" w:name="GLOSS_064"/>
      <w:pPr>
        <w:pStyle w:val="Heading2"/>
      </w:pPr>
      <w:bookmarkEnd w:id="9122"/>
      <w:r>
        <w:rPr>
          <w:b/>
        </w:rPr>
        <w:t>Offer guardrail failure (GLOSS-064)</w:t>
      </w:r>
    </w:p>
    <w:p>
      <w:r>
        <w:t>Offer missing any required financial, capacity, authority, staff, tracking, or exclusion control.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</w:t>
      </w:r>
    </w:p>
    <w:p>
      <w:bookmarkStart w:id="9123" w:name="GLOSS_070"/>
      <w:pPr>
        <w:pStyle w:val="Heading2"/>
      </w:pPr>
      <w:bookmarkEnd w:id="9123"/>
      <w:r>
        <w:rPr>
          <w:b/>
        </w:rPr>
        <w:t>Overdue action (GLOSS-070)</w:t>
      </w:r>
    </w:p>
    <w:p>
      <w:r>
        <w:t>Open action with due date before today.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Building, Manager Development</w:t>
      </w:r>
    </w:p>
    <w:p>
      <w:bookmarkStart w:id="9124" w:name="GLOSS_072"/>
      <w:pPr>
        <w:pStyle w:val="Heading2"/>
      </w:pPr>
      <w:bookmarkEnd w:id="9124"/>
      <w:r>
        <w:rPr>
          <w:b/>
        </w:rPr>
        <w:t>Pilot (GLOSS-072)</w:t>
      </w:r>
    </w:p>
    <w:p>
      <w:r>
        <w:t>A limited, controlled test used to identify defects, resource needs, training gaps, and evidence before wider rollout.</w:t>
      </w:r>
    </w:p>
    <w:p>
      <w:bookmarkStart w:id="9125" w:name="GLOSS_073"/>
      <w:pPr>
        <w:pStyle w:val="Heading2"/>
      </w:pPr>
      <w:bookmarkEnd w:id="9125"/>
      <w:r>
        <w:rPr>
          <w:b/>
        </w:rPr>
        <w:t>Pipeline coverage (GLOSS-073)</w:t>
      </w:r>
    </w:p>
    <w:p>
      <w:r>
        <w:t>Weighted pipeline divided by approved quarterly goal.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</w:t>
      </w:r>
    </w:p>
    <w:p>
      <w:bookmarkStart w:id="9126" w:name="GLOSS_074"/>
      <w:pPr>
        <w:pStyle w:val="Heading2"/>
      </w:pPr>
      <w:bookmarkEnd w:id="9126"/>
      <w:r>
        <w:rPr>
          <w:b/>
        </w:rPr>
        <w:t>Qualified pipeline (GLOSS-074)</w:t>
      </w:r>
    </w:p>
    <w:p>
      <w:r>
        <w:t>Estimated value for records with Qualified? = Yes.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</w:t>
      </w:r>
    </w:p>
    <w:p>
      <w:bookmarkStart w:id="9127" w:name="GLOSS_075"/>
      <w:pPr>
        <w:pStyle w:val="Heading2"/>
      </w:pPr>
      <w:bookmarkEnd w:id="9127"/>
      <w:r>
        <w:rPr>
          <w:b/>
        </w:rPr>
        <w:t>Qualified review (GLOSS-075)</w:t>
      </w:r>
    </w:p>
    <w:p>
      <w:r>
        <w:t>Review by a person with the required professional knowledge, organizational authority, license, certification, or subject-matter responsibility.</w:t>
      </w:r>
    </w:p>
    <w:p>
      <w:bookmarkStart w:id="9128" w:name="GLOSS_080"/>
      <w:pPr>
        <w:pStyle w:val="Heading2"/>
      </w:pPr>
      <w:bookmarkEnd w:id="9128"/>
      <w:r>
        <w:rPr>
          <w:b/>
        </w:rPr>
        <w:t>Record (GLOSS-080)</w:t>
      </w:r>
    </w:p>
    <w:p>
      <w:r>
        <w:t>Retained information documenting an input, action, decision, approval, exception, result, or verification.</w:t>
      </w:r>
    </w:p>
    <w:p>
      <w:bookmarkStart w:id="9129" w:name="GLOSS_081"/>
      <w:pPr>
        <w:pStyle w:val="Heading2"/>
      </w:pPr>
      <w:bookmarkEnd w:id="9129"/>
      <w:r>
        <w:rPr>
          <w:b/>
        </w:rPr>
        <w:t>Recovery (GLOSS-081)</w:t>
      </w:r>
    </w:p>
    <w:p>
      <w:r>
        <w:t>The controlled restoration of operations, technology, records, facilities, finances, staffing, or other capabilities after disruption.</w:t>
      </w:r>
    </w:p>
    <w:p>
      <w:bookmarkStart w:id="9130" w:name="GLOSS_092"/>
      <w:pPr>
        <w:pStyle w:val="Heading2"/>
      </w:pPr>
      <w:bookmarkEnd w:id="9130"/>
      <w:r>
        <w:rPr>
          <w:b/>
        </w:rPr>
        <w:t>Scope (GLOSS-092)</w:t>
      </w:r>
    </w:p>
    <w:p>
      <w:r>
        <w:t>The defined locations, roles, activities, records, time period, systems, and exclusions covered by a decision or implementation.</w:t>
      </w:r>
    </w:p>
    <w:p>
      <w:bookmarkStart w:id="9131" w:name="GLOSS_095"/>
      <w:pPr>
        <w:pStyle w:val="Heading2"/>
      </w:pPr>
      <w:bookmarkEnd w:id="9131"/>
      <w:r>
        <w:rPr>
          <w:b/>
        </w:rPr>
        <w:t>Standard (GLOSS-095)</w:t>
      </w:r>
    </w:p>
    <w:p>
      <w:r>
        <w:t>An approved requirement or expectation used to guide work and evaluate conformance.</w:t>
      </w:r>
    </w:p>
    <w:p>
      <w:bookmarkStart w:id="9132" w:name="GLOSS_097"/>
      <w:pPr>
        <w:pStyle w:val="Heading2"/>
      </w:pPr>
      <w:bookmarkEnd w:id="9132"/>
      <w:r>
        <w:rPr>
          <w:b/>
        </w:rPr>
        <w:t>System owner (GLOSS-097)</w:t>
      </w:r>
    </w:p>
    <w:p>
      <w:r>
        <w:t>The person accountable for the integrity, current version, controls, evidence, performance, and renewal of a defined system.</w:t>
      </w:r>
    </w:p>
    <w:p>
      <w:bookmarkStart w:id="9133" w:name="GLOSS_100"/>
      <w:pPr>
        <w:pStyle w:val="Heading2"/>
      </w:pPr>
      <w:bookmarkEnd w:id="9133"/>
      <w:r>
        <w:rPr>
          <w:b/>
        </w:rPr>
        <w:t>Trigger (GLOSS-100)</w:t>
      </w:r>
    </w:p>
    <w:p>
      <w:r>
        <w:t>A defined event, condition, threshold, date, or signal that requires a tool, review, decision, action, or escalation.</w:t>
      </w:r>
    </w:p>
    <w:p>
      <w:bookmarkStart w:id="9134" w:name="GLOSS_103"/>
      <w:pPr>
        <w:pStyle w:val="Heading2"/>
      </w:pPr>
      <w:bookmarkEnd w:id="9134"/>
      <w:r>
        <w:rPr>
          <w:b/>
        </w:rPr>
        <w:t>Verification (GLOSS-103)</w:t>
      </w:r>
    </w:p>
    <w:p>
      <w:r>
        <w:t>A fact-based check confirming that a required action occurred and met the defined acceptance criteria.</w:t>
      </w:r>
    </w:p>
    <w:p>
      <w:bookmarkStart w:id="9135" w:name="GLOSS_104"/>
      <w:pPr>
        <w:pStyle w:val="Heading2"/>
      </w:pPr>
      <w:bookmarkEnd w:id="9135"/>
      <w:r>
        <w:rPr>
          <w:b/>
        </w:rPr>
        <w:t>Version control (GLOSS-104)</w:t>
      </w:r>
    </w:p>
    <w:p>
      <w:r>
        <w:t>The method used to identify, approve, release, replace, archive, and trace changes to controlled materials.</w:t>
      </w:r>
    </w:p>
    <w:p>
      <w:bookmarkStart w:id="9136" w:name="GLOSS_106"/>
      <w:pPr>
        <w:pStyle w:val="Heading2"/>
      </w:pPr>
      <w:bookmarkEnd w:id="9136"/>
      <w:r>
        <w:rPr>
          <w:b/>
        </w:rPr>
        <w:t>Weighted pipeline (GLOSS-106)</w:t>
      </w:r>
    </w:p>
    <w:p>
      <w:r>
        <w:t>Estimated value multiplied by stage probability.</w:t>
      </w:r>
    </w:p>
    <w:p>
      <w:pPr>
        <w:spacing w:after="160"/>
      </w:pPr>
      <w:r>
        <w:rPr>
          <w:b/>
        </w:rPr>
        <w:t xml:space="preserve">Used primarily in: </w:t>
      </w:r>
      <w:r>
        <w:t>Growth &amp; Sales Building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94" w:right="1440" w:bottom="979" w:left="1440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9360"/>
      <w:jc w:val="center"/>
      <w:tblLayout w:type="fixed"/>
      <w:tblLook w:firstColumn="1" w:firstRow="1" w:lastColumn="0" w:lastRow="0" w:noHBand="0" w:noVBand="1" w:val="04A0"/>
      <w:tblInd w:w="0" w:type="dxa"/>
    </w:tblPr>
    <w:tblGrid>
      <w:gridCol w:w="7200"/>
      <w:gridCol w:w="2160"/>
    </w:tblGrid>
    <w:tr>
      <w:tc>
        <w:tcPr>
          <w:tcW w:type="dxa" w:w="720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left"/>
          </w:pPr>
          <w:r>
            <w:rPr>
              <w:rFonts w:ascii="Aptos" w:hAnsi="Aptos"/>
              <w:b/>
              <w:i w:val="0"/>
              <w:color w:val="0B2545"/>
              <w:sz w:val="17"/>
            </w:rPr>
            <w:t>THE GRAVITY SYSTEM</w:t>
          </w:r>
        </w:p>
      </w:tc>
      <w:tc>
        <w:tcPr>
          <w:tcW w:type="dxa" w:w="2160"/>
          <w:tcMar>
            <w:top w:w="80" w:type="dxa"/>
            <w:start w:w="120" w:type="dxa"/>
            <w:bottom w:w="80" w:type="dxa"/>
            <w:end w:w="120" w:type="dxa"/>
          </w:tcMar>
        </w:tcPr>
        <w:p>
          <w:pPr>
            <w:jc w:val="right"/>
          </w:pPr>
          <w:r>
            <w:rPr>
              <w:rFonts w:ascii="Aptos" w:hAnsi="Aptos"/>
              <w:b/>
              <w:i w:val="0"/>
              <w:color w:val="5C6570"/>
              <w:sz w:val="18"/>
            </w:rPr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ptos" w:hAnsi="Aptos"/>
        <w:b/>
        <w:i w:val="0"/>
        <w:color w:val="9B7428"/>
        <w:sz w:val="17"/>
      </w:rPr>
      <w:t>GROWTH &amp; SALES BUILDING SYSTEM | OPERATING MANUAL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83" w:lineRule="auto"/>
    </w:pPr>
    <w:rPr>
      <w:rFonts w:ascii="Aptos" w:hAnsi="Aptos"/>
      <w:color w:val="172231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B2545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Aptos" w:hAnsi="Aptos"/>
      <w:b/>
      <w:bCs/>
      <w:color w:val="2E74B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9B742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0B2545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20"/>
    </w:pPr>
    <w:rPr>
      <w:rFonts w:asciiTheme="majorHAnsi" w:eastAsiaTheme="majorEastAsia" w:hAnsiTheme="majorHAnsi" w:cstheme="majorBidi" w:ascii="Aptos" w:hAnsi="Aptos"/>
      <w:b w:val="0"/>
      <w:i/>
      <w:iCs/>
      <w:color w:val="5C657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283" w:lineRule="auto"/>
      <w:ind w:left="547" w:hanging="274"/>
      <w:contextualSpacing/>
    </w:pPr>
    <w:rPr>
      <w:rFonts w:ascii="Aptos" w:hAnsi="Aptos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hyperlink" Target="https://www.ftc.gov/business-guidance/advertising-marketing/advertising-marketing-basics" TargetMode="External"/><Relationship Id="rId13" Type="http://schemas.openxmlformats.org/officeDocument/2006/relationships/hyperlink" Target="https://www.ftc.gov/business-guidance/advertising-marketing/online-advertising-marketing" TargetMode="External"/><Relationship Id="rId14" Type="http://schemas.openxmlformats.org/officeDocument/2006/relationships/hyperlink" Target="https://www.ftc.gov/business-guidance/resources/can-spam-act-compliance-guide-business" TargetMode="External"/><Relationship Id="rId15" Type="http://schemas.openxmlformats.org/officeDocument/2006/relationships/hyperlink" Target="https://www.ftc.gov/business-guidance/resources/consumer-reviews-testimonials-rule-questions-answers" TargetMode="External"/><Relationship Id="rId16" Type="http://schemas.openxmlformats.org/officeDocument/2006/relationships/hyperlink" Target="https://www.ftc.gov/business-guidance/resources/ftcs-endorsement-guides-what-people-are-asking" TargetMode="External"/><Relationship Id="rId17" Type="http://schemas.openxmlformats.org/officeDocument/2006/relationships/hyperlink" Target="https://www.fcc.gov/consumers/guides/stop-unwanted-robocalls-and-texts" TargetMode="External"/><Relationship Id="rId18" Type="http://schemas.openxmlformats.org/officeDocument/2006/relationships/hyperlink" Target="https://support.google.com/business/?hl=en" TargetMode="External"/><Relationship Id="rId19" Type="http://schemas.openxmlformats.org/officeDocument/2006/relationships/hyperlink" Target="https://support.google.com/business/answer/7091?hl=en" TargetMode="External"/><Relationship Id="rId20" Type="http://schemas.openxmlformats.org/officeDocument/2006/relationships/hyperlink" Target="https://support.google.com/business/answer/3474050?hl=en" TargetMode="External"/><Relationship Id="rId21" Type="http://schemas.openxmlformats.org/officeDocument/2006/relationships/hyperlink" Target="https://www.ada.gov/resources/web-guidance/" TargetMode="External"/><Relationship Id="rId22" Type="http://schemas.openxmlformats.org/officeDocument/2006/relationships/hyperlink" Target="https://www.census.gov/data/data-tools/cbb.html" TargetMode="External"/><Relationship Id="rId23" Type="http://schemas.openxmlformats.org/officeDocument/2006/relationships/hyperlink" Target="https://data.census.gov/" TargetMode="External"/><Relationship Id="rId24" Type="http://schemas.openxmlformats.org/officeDocument/2006/relationships/hyperlink" Target="https://www.sba.gov/counseling/plan-your-busines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