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C8A24A"/>
          <w:sz w:val="20"/>
        </w:rPr>
        <w:t>THE GRAVITY RESTAURANT LEADERSHIP SYSTEM</w:t>
      </w:r>
    </w:p>
    <w:p>
      <w:pPr>
        <w:jc w:val="center"/>
      </w:pPr>
      <w:r>
        <w:rPr>
          <w:rFonts w:ascii="Georgia" w:hAnsi="Georgia"/>
          <w:b/>
          <w:color w:val="0D1B2A"/>
          <w:sz w:val="48"/>
        </w:rPr>
        <w:t>The Gravity Hiring, Retention &amp; Employee Relations System</w:t>
      </w:r>
    </w:p>
    <w:p>
      <w:pPr>
        <w:jc w:val="center"/>
      </w:pPr>
      <w:r>
        <w:rPr>
          <w:i/>
          <w:sz w:val="22"/>
        </w:rPr>
        <w:t>A complete operating system for staffing pipeline, interviews, job fit, onboarding handoff, retention signals, coaching routes, employee relations, fair documentation, and employment-process discipline.</w:t>
      </w:r>
    </w:p>
    <w:p>
      <w:pPr>
        <w:jc w:val="center"/>
      </w:pPr>
      <w:r>
        <w:rPr>
          <w:b/>
          <w:color w:val="8A1F1D"/>
          <w:sz w:val="28"/>
        </w:rPr>
        <w:t>OPERATING MANUAL</w:t>
      </w:r>
    </w:p>
    <w:p>
      <w:pPr>
        <w:jc w:val="center"/>
      </w:pPr>
      <w:r>
        <w:rPr>
          <w:b/>
          <w:sz w:val="20"/>
        </w:rPr>
        <w:t>GRV-HR01-GRV-HR30 | Release 1.1 | Founding Year Free Access</w:t>
      </w:r>
    </w:p>
    <w:p>
      <w:pPr>
        <w:jc w:val="center"/>
      </w:pPr>
      <w:r>
        <w:rPr>
          <w:sz w:val="20"/>
        </w:rPr>
        <w:t>Published by Thomas Monroe Books</w:t>
        <w:br/>
        <w:t>Author: Thomas Butler</w:t>
      </w:r>
    </w:p>
    <w:p>
      <w:r>
        <w:br w:type="page"/>
      </w:r>
    </w:p>
    <w:p>
      <w:pPr>
        <w:pStyle w:val="Heading1"/>
      </w:pPr>
      <w:r>
        <w:t>1. Central Purpose</w:t>
      </w:r>
    </w:p>
    <w:p>
      <w:r>
        <w:rPr>
          <w:b/>
          <w:color w:val="8A1F1D"/>
        </w:rPr>
        <w:t xml:space="preserve">Purpose: </w:t>
      </w:r>
      <w:r>
        <w:t>Controls the employee lifecycle before and around training: who is recruited, how fit is assessed, how people are welcomed, what retention signals are heard, and how concerns are documented fairly.</w:t>
      </w:r>
    </w:p>
    <w:p>
      <w:r>
        <w:rPr>
          <w:b/>
          <w:color w:val="8A1F1D"/>
        </w:rPr>
        <w:t xml:space="preserve">Truth: </w:t>
      </w:r>
      <w:r>
        <w:t>What is actually happening in the employee pipeline, team experience, retention, conflict, communication, and documentation process?</w:t>
      </w:r>
    </w:p>
    <w:p>
      <w:r>
        <w:rPr>
          <w:b/>
          <w:color w:val="8A1F1D"/>
        </w:rPr>
        <w:t xml:space="preserve">Cost: </w:t>
      </w:r>
      <w:r>
        <w:t>What do weak hiring, unclear expectations, ignored concerns, rushed corrective action, gossip, turnover, and unfair treatment cost the restaurant?</w:t>
      </w:r>
    </w:p>
    <w:p>
      <w:r>
        <w:rPr>
          <w:b/>
          <w:color w:val="8A1F1D"/>
        </w:rPr>
        <w:t xml:space="preserve">System: </w:t>
      </w:r>
      <w:r>
        <w:t>Create a fair employee lifecycle with role clarity, structured interviews, retention checks, coaching routes, concern handling, protected documentation, and review rhythms.</w:t>
      </w:r>
    </w:p>
    <w:p>
      <w:r>
        <w:t>Elite operating standard: every repeated problem must move from opinion to evidence, from evidence to decision, and from decision to verified practice.</w:t>
      </w:r>
    </w:p>
    <w:p>
      <w:r>
        <w:br w:type="page"/>
      </w:r>
    </w:p>
    <w:p>
      <w:pPr>
        <w:pStyle w:val="Heading1"/>
      </w:pPr>
      <w:r>
        <w:t>2. What This System Controls</w:t>
      </w:r>
    </w:p>
    <w:p>
      <w:pPr>
        <w:pStyle w:val="ListBullet"/>
      </w:pPr>
      <w:r>
        <w:t>Owner and review cadence</w:t>
      </w:r>
    </w:p>
    <w:p>
      <w:pPr>
        <w:pStyle w:val="ListBullet"/>
      </w:pPr>
      <w:r>
        <w:t>Operating records and source evidence</w:t>
      </w:r>
    </w:p>
    <w:p>
      <w:pPr>
        <w:pStyle w:val="ListBullet"/>
      </w:pPr>
      <w:r>
        <w:t>Approval thresholds and decision authority</w:t>
      </w:r>
    </w:p>
    <w:p>
      <w:pPr>
        <w:pStyle w:val="ListBullet"/>
      </w:pPr>
      <w:r>
        <w:t>Routine checks and exception handling</w:t>
      </w:r>
    </w:p>
    <w:p>
      <w:pPr>
        <w:pStyle w:val="ListBullet"/>
      </w:pPr>
      <w:r>
        <w:t>Corrective action and renewal rhythm</w:t>
      </w:r>
    </w:p>
    <w:p>
      <w:pPr>
        <w:pStyle w:val="ListBullet"/>
      </w:pPr>
      <w:r>
        <w:t>Handoffs to adjacent Gravity systems</w:t>
      </w:r>
    </w:p>
    <w:p>
      <w:pPr>
        <w:pStyle w:val="ListBullet"/>
      </w:pPr>
      <w:r>
        <w:t>Approved local customization without uncontrolled duplicate versions</w:t>
      </w:r>
    </w:p>
    <w:p>
      <w:pPr>
        <w:pStyle w:val="ListBullet"/>
      </w:pPr>
      <w:r>
        <w:t>Management review that turns facts into visible action</w:t>
      </w:r>
    </w:p>
    <w:p>
      <w:r>
        <w:br w:type="page"/>
      </w:r>
    </w:p>
    <w:p>
      <w:pPr>
        <w:pStyle w:val="Heading1"/>
      </w:pPr>
      <w:r>
        <w:t>3. Architecture and Boundaries</w:t>
      </w:r>
    </w:p>
    <w:p>
      <w:r>
        <w:t>GRV-HR uses 30 stable tool IDs across six operating areas. The system controls its own records and does not replace another system's source authority.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2160"/>
            <w:shd w:fill="0D1B2A"/>
          </w:tcPr>
          <w:p>
            <w:r/>
            <w:r>
              <w:rPr>
                <w:b/>
                <w:color w:val="FFFFFF"/>
                <w:sz w:val="16"/>
              </w:rPr>
              <w:t>Tool range</w:t>
            </w:r>
          </w:p>
        </w:tc>
        <w:tc>
          <w:tcPr>
            <w:tcW w:type="dxa" w:w="7920"/>
            <w:shd w:fill="0D1B2A"/>
          </w:tcPr>
          <w:p>
            <w:r/>
            <w:r>
              <w:rPr>
                <w:b/>
                <w:color w:val="FFFFFF"/>
                <w:sz w:val="16"/>
              </w:rPr>
              <w:t>Operating area</w:t>
            </w:r>
          </w:p>
        </w:tc>
      </w:tr>
      <w:tr>
        <w:tc>
          <w:tcPr>
            <w:tcW w:type="dxa" w:w="2160"/>
            <w:vAlign w:val="top"/>
          </w:tcPr>
          <w:p>
            <w:r/>
            <w:r>
              <w:rPr>
                <w:b w:val="0"/>
                <w:sz w:val="16"/>
              </w:rPr>
              <w:t>GRV-HR01-GRV-HR05</w:t>
            </w:r>
          </w:p>
        </w:tc>
        <w:tc>
          <w:tcPr>
            <w:tcW w:type="dxa" w:w="7920"/>
            <w:vAlign w:val="top"/>
          </w:tcPr>
          <w:p>
            <w:r/>
            <w:r>
              <w:rPr>
                <w:b w:val="0"/>
                <w:sz w:val="16"/>
              </w:rPr>
              <w:t>Workforce Need &amp; Hiring Strategy</w:t>
            </w:r>
          </w:p>
        </w:tc>
      </w:tr>
      <w:tr>
        <w:tc>
          <w:tcPr>
            <w:tcW w:type="dxa" w:w="2160"/>
            <w:vAlign w:val="top"/>
          </w:tcPr>
          <w:p>
            <w:r/>
            <w:r>
              <w:rPr>
                <w:b w:val="0"/>
                <w:sz w:val="16"/>
              </w:rPr>
              <w:t>GRV-HR06-GRV-HR10</w:t>
            </w:r>
          </w:p>
        </w:tc>
        <w:tc>
          <w:tcPr>
            <w:tcW w:type="dxa" w:w="7920"/>
            <w:vAlign w:val="top"/>
          </w:tcPr>
          <w:p>
            <w:r/>
            <w:r>
              <w:rPr>
                <w:b w:val="0"/>
                <w:sz w:val="16"/>
              </w:rPr>
              <w:t>Recruiting, Interviewing &amp; Selection</w:t>
            </w:r>
          </w:p>
        </w:tc>
      </w:tr>
      <w:tr>
        <w:tc>
          <w:tcPr>
            <w:tcW w:type="dxa" w:w="2160"/>
            <w:vAlign w:val="top"/>
          </w:tcPr>
          <w:p>
            <w:r/>
            <w:r>
              <w:rPr>
                <w:b w:val="0"/>
                <w:sz w:val="16"/>
              </w:rPr>
              <w:t>GRV-HR11-GRV-HR15</w:t>
            </w:r>
          </w:p>
        </w:tc>
        <w:tc>
          <w:tcPr>
            <w:tcW w:type="dxa" w:w="7920"/>
            <w:vAlign w:val="top"/>
          </w:tcPr>
          <w:p>
            <w:r/>
            <w:r>
              <w:rPr>
                <w:b w:val="0"/>
                <w:sz w:val="16"/>
              </w:rPr>
              <w:t>Onboarding Handoff &amp; First-90-Day Retention</w:t>
            </w:r>
          </w:p>
        </w:tc>
      </w:tr>
      <w:tr>
        <w:tc>
          <w:tcPr>
            <w:tcW w:type="dxa" w:w="2160"/>
            <w:vAlign w:val="top"/>
          </w:tcPr>
          <w:p>
            <w:r/>
            <w:r>
              <w:rPr>
                <w:b w:val="0"/>
                <w:sz w:val="16"/>
              </w:rPr>
              <w:t>GRV-HR16-GRV-HR20</w:t>
            </w:r>
          </w:p>
        </w:tc>
        <w:tc>
          <w:tcPr>
            <w:tcW w:type="dxa" w:w="7920"/>
            <w:vAlign w:val="top"/>
          </w:tcPr>
          <w:p>
            <w:r/>
            <w:r>
              <w:rPr>
                <w:b w:val="0"/>
                <w:sz w:val="16"/>
              </w:rPr>
              <w:t>Employee Relations &amp; Communication</w:t>
            </w:r>
          </w:p>
        </w:tc>
      </w:tr>
      <w:tr>
        <w:tc>
          <w:tcPr>
            <w:tcW w:type="dxa" w:w="2160"/>
            <w:vAlign w:val="top"/>
          </w:tcPr>
          <w:p>
            <w:r/>
            <w:r>
              <w:rPr>
                <w:b w:val="0"/>
                <w:sz w:val="16"/>
              </w:rPr>
              <w:t>GRV-HR21-GRV-HR25</w:t>
            </w:r>
          </w:p>
        </w:tc>
        <w:tc>
          <w:tcPr>
            <w:tcW w:type="dxa" w:w="7920"/>
            <w:vAlign w:val="top"/>
          </w:tcPr>
          <w:p>
            <w:r/>
            <w:r>
              <w:rPr>
                <w:b w:val="0"/>
                <w:sz w:val="16"/>
              </w:rPr>
              <w:t>Fair Documentation &amp; Corrective-Action Routing</w:t>
            </w:r>
          </w:p>
        </w:tc>
      </w:tr>
      <w:tr>
        <w:tc>
          <w:tcPr>
            <w:tcW w:type="dxa" w:w="2160"/>
            <w:vAlign w:val="top"/>
          </w:tcPr>
          <w:p>
            <w:r/>
            <w:r>
              <w:rPr>
                <w:b w:val="0"/>
                <w:sz w:val="16"/>
              </w:rPr>
              <w:t>GRV-HR26-GRV-HR30</w:t>
            </w:r>
          </w:p>
        </w:tc>
        <w:tc>
          <w:tcPr>
            <w:tcW w:type="dxa" w:w="7920"/>
            <w:vAlign w:val="top"/>
          </w:tcPr>
          <w:p>
            <w:r/>
            <w:r>
              <w:rPr>
                <w:b w:val="0"/>
                <w:sz w:val="16"/>
              </w:rPr>
              <w:t>Retention Scorecards &amp; Workforce Renewal</w:t>
            </w:r>
          </w:p>
        </w:tc>
      </w:tr>
    </w:tbl>
    <w:p>
      <w:pPr>
        <w:pStyle w:val="Heading2"/>
      </w:pPr>
      <w:r>
        <w:t>Boundary Rules</w:t>
      </w:r>
    </w:p>
    <w:p>
      <w:r>
        <w:rPr>
          <w:b/>
        </w:rPr>
        <w:t xml:space="preserve">Training &amp; Certification: </w:t>
      </w:r>
      <w:r>
        <w:t>GRV-T owns skill training, certification, retraining, and training evidence. GRV-HR owns hiring, retention, employee-relations routing, and employment-process documentation.</w:t>
      </w:r>
    </w:p>
    <w:p>
      <w:r>
        <w:rPr>
          <w:b/>
        </w:rPr>
        <w:t xml:space="preserve">Manager Development: </w:t>
      </w:r>
      <w:r>
        <w:t>GRV-M develops managers. GRV-HR controls the employee lifecycle and makes sure manager actions are documented and routed correctly.</w:t>
      </w:r>
    </w:p>
    <w:p>
      <w:r>
        <w:rPr>
          <w:b/>
        </w:rPr>
        <w:t xml:space="preserve">Loss Prevention: </w:t>
      </w:r>
      <w:r>
        <w:t>GRV-LP supplies evidence for financial/control incidents; GRV-HR governs fair employee-process handling and qualified review before employment action.</w:t>
      </w:r>
    </w:p>
    <w:p>
      <w:r>
        <w:br w:type="page"/>
      </w:r>
    </w:p>
    <w:p>
      <w:pPr>
        <w:pStyle w:val="Heading1"/>
      </w:pPr>
      <w:r>
        <w:t>4. Governance, Roles and Authority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3168"/>
            <w:shd w:fill="0D1B2A"/>
          </w:tcPr>
          <w:p>
            <w:r/>
            <w:r>
              <w:rPr>
                <w:b/>
                <w:color w:val="FFFFFF"/>
                <w:sz w:val="16"/>
              </w:rPr>
              <w:t>Role</w:t>
            </w:r>
          </w:p>
        </w:tc>
        <w:tc>
          <w:tcPr>
            <w:tcW w:type="dxa" w:w="6912"/>
            <w:shd w:fill="0D1B2A"/>
          </w:tcPr>
          <w:p>
            <w:r/>
            <w:r>
              <w:rPr>
                <w:b/>
                <w:color w:val="FFFFFF"/>
                <w:sz w:val="16"/>
              </w:rPr>
              <w:t>Authority</w:t>
            </w:r>
          </w:p>
        </w:tc>
      </w:tr>
      <w:tr>
        <w:tc>
          <w:tcPr>
            <w:tcW w:type="dxa" w:w="3168"/>
            <w:vAlign w:val="top"/>
          </w:tcPr>
          <w:p>
            <w:r/>
            <w:r>
              <w:rPr>
                <w:b w:val="0"/>
                <w:sz w:val="16"/>
              </w:rPr>
              <w:t>Owner / Executive Sponsor</w:t>
            </w:r>
          </w:p>
        </w:tc>
        <w:tc>
          <w:tcPr>
            <w:tcW w:type="dxa" w:w="6912"/>
            <w:vAlign w:val="top"/>
          </w:tcPr>
          <w:p>
            <w:r/>
            <w:r>
              <w:rPr>
                <w:b w:val="0"/>
                <w:sz w:val="16"/>
              </w:rPr>
              <w:t>Approves system use, major thresholds, investments, and renewal decisions.</w:t>
            </w:r>
          </w:p>
        </w:tc>
      </w:tr>
      <w:tr>
        <w:tc>
          <w:tcPr>
            <w:tcW w:type="dxa" w:w="3168"/>
            <w:vAlign w:val="top"/>
          </w:tcPr>
          <w:p>
            <w:r/>
            <w:r>
              <w:rPr>
                <w:b w:val="0"/>
                <w:sz w:val="16"/>
              </w:rPr>
              <w:t>GM / System Owner</w:t>
            </w:r>
          </w:p>
        </w:tc>
        <w:tc>
          <w:tcPr>
            <w:tcW w:type="dxa" w:w="6912"/>
            <w:vAlign w:val="top"/>
          </w:tcPr>
          <w:p>
            <w:r/>
            <w:r>
              <w:rPr>
                <w:b w:val="0"/>
                <w:sz w:val="16"/>
              </w:rPr>
              <w:t>Owns the weekly/monthly operating rhythm, evidence quality, action closure, and escalation.</w:t>
            </w:r>
          </w:p>
        </w:tc>
      </w:tr>
      <w:tr>
        <w:tc>
          <w:tcPr>
            <w:tcW w:type="dxa" w:w="3168"/>
            <w:vAlign w:val="top"/>
          </w:tcPr>
          <w:p>
            <w:r/>
            <w:r>
              <w:rPr>
                <w:b w:val="0"/>
                <w:sz w:val="16"/>
              </w:rPr>
              <w:t>Department Manager</w:t>
            </w:r>
          </w:p>
        </w:tc>
        <w:tc>
          <w:tcPr>
            <w:tcW w:type="dxa" w:w="6912"/>
            <w:vAlign w:val="top"/>
          </w:tcPr>
          <w:p>
            <w:r/>
            <w:r>
              <w:rPr>
                <w:b w:val="0"/>
                <w:sz w:val="16"/>
              </w:rPr>
              <w:t>Maintains assigned tools, completes reviews on frequency, and corrects failed checks.</w:t>
            </w:r>
          </w:p>
        </w:tc>
      </w:tr>
      <w:tr>
        <w:tc>
          <w:tcPr>
            <w:tcW w:type="dxa" w:w="3168"/>
            <w:vAlign w:val="top"/>
          </w:tcPr>
          <w:p>
            <w:r/>
            <w:r>
              <w:rPr>
                <w:b w:val="0"/>
                <w:sz w:val="16"/>
              </w:rPr>
              <w:t>Qualified Reviewer</w:t>
            </w:r>
          </w:p>
        </w:tc>
        <w:tc>
          <w:tcPr>
            <w:tcW w:type="dxa" w:w="6912"/>
            <w:vAlign w:val="top"/>
          </w:tcPr>
          <w:p>
            <w:r/>
            <w:r>
              <w:rPr>
                <w:b w:val="0"/>
                <w:sz w:val="16"/>
              </w:rPr>
              <w:t>Reviews sensitive, legal, safety, employment, financial, privacy, or technical matters when required.</w:t>
            </w:r>
          </w:p>
        </w:tc>
      </w:tr>
    </w:tbl>
    <w:p>
      <w:r>
        <w:t>Authority rule: no tool is live until an owner, frequency, evidence location, and review path are known.</w:t>
      </w:r>
    </w:p>
    <w:p>
      <w:r>
        <w:br w:type="page"/>
      </w:r>
    </w:p>
    <w:p>
      <w:pPr>
        <w:pStyle w:val="Heading1"/>
      </w:pPr>
      <w:r>
        <w:t>5. Operating Rhythm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872"/>
            <w:shd w:fill="0D1B2A"/>
          </w:tcPr>
          <w:p>
            <w:r/>
            <w:r>
              <w:rPr>
                <w:b/>
                <w:color w:val="FFFFFF"/>
                <w:sz w:val="16"/>
              </w:rPr>
              <w:t>Cadence</w:t>
            </w:r>
          </w:p>
        </w:tc>
        <w:tc>
          <w:tcPr>
            <w:tcW w:type="dxa" w:w="8208"/>
            <w:shd w:fill="0D1B2A"/>
          </w:tcPr>
          <w:p>
            <w:r/>
            <w:r>
              <w:rPr>
                <w:b/>
                <w:color w:val="FFFFFF"/>
                <w:sz w:val="16"/>
              </w:rPr>
              <w:t>Required behavior</w:t>
            </w:r>
          </w:p>
        </w:tc>
      </w:tr>
      <w:tr>
        <w:tc>
          <w:tcPr>
            <w:tcW w:type="dxa" w:w="1872"/>
            <w:vAlign w:val="top"/>
          </w:tcPr>
          <w:p>
            <w:r/>
            <w:r>
              <w:rPr>
                <w:b w:val="0"/>
                <w:sz w:val="16"/>
              </w:rPr>
              <w:t>Daily</w:t>
            </w:r>
          </w:p>
        </w:tc>
        <w:tc>
          <w:tcPr>
            <w:tcW w:type="dxa" w:w="8208"/>
            <w:vAlign w:val="top"/>
          </w:tcPr>
          <w:p>
            <w:r/>
            <w:r>
              <w:rPr>
                <w:b w:val="0"/>
                <w:sz w:val="16"/>
              </w:rPr>
              <w:t>Complete front-line checks, record exceptions, protect service and guest/staff safety.</w:t>
            </w:r>
          </w:p>
        </w:tc>
      </w:tr>
      <w:tr>
        <w:tc>
          <w:tcPr>
            <w:tcW w:type="dxa" w:w="1872"/>
            <w:vAlign w:val="top"/>
          </w:tcPr>
          <w:p>
            <w:r/>
            <w:r>
              <w:rPr>
                <w:b w:val="0"/>
                <w:sz w:val="16"/>
              </w:rPr>
              <w:t>Weekly</w:t>
            </w:r>
          </w:p>
        </w:tc>
        <w:tc>
          <w:tcPr>
            <w:tcW w:type="dxa" w:w="8208"/>
            <w:vAlign w:val="top"/>
          </w:tcPr>
          <w:p>
            <w:r/>
            <w:r>
              <w:rPr>
                <w:b w:val="0"/>
                <w:sz w:val="16"/>
              </w:rPr>
              <w:t>Review open records, failed controls, repeated patterns, and highest-value corrections.</w:t>
            </w:r>
          </w:p>
        </w:tc>
      </w:tr>
      <w:tr>
        <w:tc>
          <w:tcPr>
            <w:tcW w:type="dxa" w:w="1872"/>
            <w:vAlign w:val="top"/>
          </w:tcPr>
          <w:p>
            <w:r/>
            <w:r>
              <w:rPr>
                <w:b w:val="0"/>
                <w:sz w:val="16"/>
              </w:rPr>
              <w:t>Monthly</w:t>
            </w:r>
          </w:p>
        </w:tc>
        <w:tc>
          <w:tcPr>
            <w:tcW w:type="dxa" w:w="8208"/>
            <w:vAlign w:val="top"/>
          </w:tcPr>
          <w:p>
            <w:r/>
            <w:r>
              <w:rPr>
                <w:b w:val="0"/>
                <w:sz w:val="16"/>
              </w:rPr>
              <w:t>Update scorecard, measure trends, review owner decisions, and close or escalate actions.</w:t>
            </w:r>
          </w:p>
        </w:tc>
      </w:tr>
      <w:tr>
        <w:tc>
          <w:tcPr>
            <w:tcW w:type="dxa" w:w="1872"/>
            <w:vAlign w:val="top"/>
          </w:tcPr>
          <w:p>
            <w:r/>
            <w:r>
              <w:rPr>
                <w:b w:val="0"/>
                <w:sz w:val="16"/>
              </w:rPr>
              <w:t>Quarterly</w:t>
            </w:r>
          </w:p>
        </w:tc>
        <w:tc>
          <w:tcPr>
            <w:tcW w:type="dxa" w:w="8208"/>
            <w:vAlign w:val="top"/>
          </w:tcPr>
          <w:p>
            <w:r/>
            <w:r>
              <w:rPr>
                <w:b w:val="0"/>
                <w:sz w:val="16"/>
              </w:rPr>
              <w:t>Re-rank risk/priority, update roles, retire outdated forms, and reset the 90-day plan.</w:t>
            </w:r>
          </w:p>
        </w:tc>
      </w:tr>
      <w:tr>
        <w:tc>
          <w:tcPr>
            <w:tcW w:type="dxa" w:w="1872"/>
            <w:vAlign w:val="top"/>
          </w:tcPr>
          <w:p>
            <w:r/>
            <w:r>
              <w:rPr>
                <w:b w:val="0"/>
                <w:sz w:val="16"/>
              </w:rPr>
              <w:t>Annual</w:t>
            </w:r>
          </w:p>
        </w:tc>
        <w:tc>
          <w:tcPr>
            <w:tcW w:type="dxa" w:w="8208"/>
            <w:vAlign w:val="top"/>
          </w:tcPr>
          <w:p>
            <w:r/>
            <w:r>
              <w:rPr>
                <w:b w:val="0"/>
                <w:sz w:val="16"/>
              </w:rPr>
              <w:t>Renew standards, validate source authority, and decide capital/strategy priorities.</w:t>
            </w:r>
          </w:p>
        </w:tc>
      </w:tr>
    </w:tbl>
    <w:p>
      <w:r>
        <w:br w:type="page"/>
      </w:r>
    </w:p>
    <w:p>
      <w:pPr>
        <w:pStyle w:val="Heading1"/>
      </w:pPr>
      <w:r>
        <w:t>6. Data, Records and Evidence Standards</w:t>
      </w:r>
    </w:p>
    <w:p>
      <w:pPr>
        <w:pStyle w:val="ListBullet"/>
      </w:pPr>
      <w:r>
        <w:t>Use one approved current version of every tool.</w:t>
      </w:r>
    </w:p>
    <w:p>
      <w:pPr>
        <w:pStyle w:val="ListBullet"/>
      </w:pPr>
      <w:r>
        <w:t>Name the source report, owner, date, limitation, and decision.</w:t>
      </w:r>
    </w:p>
    <w:p>
      <w:pPr>
        <w:pStyle w:val="ListBullet"/>
      </w:pPr>
      <w:r>
        <w:t>Do not overwrite completed records; archive them in a controlled location.</w:t>
      </w:r>
    </w:p>
    <w:p>
      <w:pPr>
        <w:pStyle w:val="ListBullet"/>
      </w:pPr>
      <w:r>
        <w:t>Do not use estimates as final evidence without labeling them as preliminary.</w:t>
      </w:r>
    </w:p>
    <w:p>
      <w:pPr>
        <w:pStyle w:val="ListBullet"/>
      </w:pPr>
      <w:r>
        <w:t>When the record touches law, safety, health, privacy, payroll, or employment action, use qualified review.</w:t>
      </w:r>
    </w:p>
    <w:p>
      <w:pPr>
        <w:pStyle w:val="ListBullet"/>
      </w:pPr>
      <w:r>
        <w:t>Retire obsolete drafts when a new version is approved.</w:t>
      </w:r>
    </w:p>
    <w:p>
      <w:r>
        <w:br w:type="page"/>
      </w:r>
    </w:p>
    <w:p>
      <w:pPr>
        <w:pStyle w:val="Heading1"/>
      </w:pPr>
      <w:r>
        <w:t>7. Tool Directory by Operating Area</w:t>
      </w:r>
    </w:p>
    <w:p>
      <w:pPr>
        <w:pStyle w:val="Heading2"/>
      </w:pPr>
      <w:r>
        <w:t>1. Workforce Need &amp; Hiring Strategy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74"/>
        <w:gridCol w:w="2074"/>
        <w:gridCol w:w="2074"/>
        <w:gridCol w:w="2074"/>
        <w:gridCol w:w="2074"/>
      </w:tblGrid>
      <w:tr>
        <w:tc>
          <w:tcPr>
            <w:tcW w:type="dxa" w:w="1080"/>
            <w:shd w:fill="0D1B2A"/>
          </w:tcPr>
          <w:p>
            <w:r/>
            <w:r>
              <w:rPr>
                <w:b/>
                <w:color w:val="FFFFFF"/>
                <w:sz w:val="14"/>
              </w:rPr>
              <w:t>ID</w:t>
            </w:r>
          </w:p>
        </w:tc>
        <w:tc>
          <w:tcPr>
            <w:tcW w:type="dxa" w:w="2304"/>
            <w:shd w:fill="0D1B2A"/>
          </w:tcPr>
          <w:p>
            <w:r/>
            <w:r>
              <w:rPr>
                <w:b/>
                <w:color w:val="FFFFFF"/>
                <w:sz w:val="14"/>
              </w:rPr>
              <w:t>Tool</w:t>
            </w:r>
          </w:p>
        </w:tc>
        <w:tc>
          <w:tcPr>
            <w:tcW w:type="dxa" w:w="1800"/>
            <w:shd w:fill="0D1B2A"/>
          </w:tcPr>
          <w:p>
            <w:r/>
            <w:r>
              <w:rPr>
                <w:b/>
                <w:color w:val="FFFFFF"/>
                <w:sz w:val="14"/>
              </w:rPr>
              <w:t>Owner</w:t>
            </w:r>
          </w:p>
        </w:tc>
        <w:tc>
          <w:tcPr>
            <w:tcW w:type="dxa" w:w="1656"/>
            <w:shd w:fill="0D1B2A"/>
          </w:tcPr>
          <w:p>
            <w:r/>
            <w:r>
              <w:rPr>
                <w:b/>
                <w:color w:val="FFFFFF"/>
                <w:sz w:val="14"/>
              </w:rPr>
              <w:t>Frequency</w:t>
            </w:r>
          </w:p>
        </w:tc>
        <w:tc>
          <w:tcPr>
            <w:tcW w:type="dxa" w:w="3528"/>
            <w:shd w:fill="0D1B2A"/>
          </w:tcPr>
          <w:p>
            <w:r/>
            <w:r>
              <w:rPr>
                <w:b/>
                <w:color w:val="FFFFFF"/>
                <w:sz w:val="14"/>
              </w:rPr>
              <w:t>Operating purpose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GRV-HR01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Staffing Need &amp; Role Request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GM / Department Manager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Per opening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Confirms whether a hire is needed, role purpose, schedule need, skill gap, budget fit, and approval.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GRV-HR02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Position Success Profile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GM / Department Manager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At setup; annual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Defines what success looks like in behavior, availability, pace, service, teamwork, and reliability.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GRV-HR03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Hiring Priority &amp; Pipeline Tracker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Hiring Manager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Weekly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Tracks open roles, applicant source, stage, urgency, owner, and next action.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GRV-HR04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Recruiting Source Effectiveness Review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GM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Monthly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Measures which sources produce qualified applicants, attendance, retention, performance, and hiring cost.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GRV-HR05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Applicant Communication Standard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Hiring Manager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At setup; quarterly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Controls response time, interview invitation, rejection tone, equal-process expectations, and record handling.</w:t>
            </w:r>
          </w:p>
        </w:tc>
      </w:tr>
    </w:tbl>
    <w:p>
      <w:r>
        <w:t>Area review question: What fact did this area make visible that was previously hidden, delayed, disputed, or handled by memory?</w:t>
      </w:r>
    </w:p>
    <w:p>
      <w:r>
        <w:br w:type="page"/>
      </w:r>
    </w:p>
    <w:p>
      <w:pPr>
        <w:pStyle w:val="Heading2"/>
      </w:pPr>
      <w:r>
        <w:t>2. Recruiting, Interviewing &amp; Selection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74"/>
        <w:gridCol w:w="2074"/>
        <w:gridCol w:w="2074"/>
        <w:gridCol w:w="2074"/>
        <w:gridCol w:w="2074"/>
      </w:tblGrid>
      <w:tr>
        <w:tc>
          <w:tcPr>
            <w:tcW w:type="dxa" w:w="1080"/>
            <w:shd w:fill="0D1B2A"/>
          </w:tcPr>
          <w:p>
            <w:r/>
            <w:r>
              <w:rPr>
                <w:b/>
                <w:color w:val="FFFFFF"/>
                <w:sz w:val="14"/>
              </w:rPr>
              <w:t>ID</w:t>
            </w:r>
          </w:p>
        </w:tc>
        <w:tc>
          <w:tcPr>
            <w:tcW w:type="dxa" w:w="2304"/>
            <w:shd w:fill="0D1B2A"/>
          </w:tcPr>
          <w:p>
            <w:r/>
            <w:r>
              <w:rPr>
                <w:b/>
                <w:color w:val="FFFFFF"/>
                <w:sz w:val="14"/>
              </w:rPr>
              <w:t>Tool</w:t>
            </w:r>
          </w:p>
        </w:tc>
        <w:tc>
          <w:tcPr>
            <w:tcW w:type="dxa" w:w="1800"/>
            <w:shd w:fill="0D1B2A"/>
          </w:tcPr>
          <w:p>
            <w:r/>
            <w:r>
              <w:rPr>
                <w:b/>
                <w:color w:val="FFFFFF"/>
                <w:sz w:val="14"/>
              </w:rPr>
              <w:t>Owner</w:t>
            </w:r>
          </w:p>
        </w:tc>
        <w:tc>
          <w:tcPr>
            <w:tcW w:type="dxa" w:w="1656"/>
            <w:shd w:fill="0D1B2A"/>
          </w:tcPr>
          <w:p>
            <w:r/>
            <w:r>
              <w:rPr>
                <w:b/>
                <w:color w:val="FFFFFF"/>
                <w:sz w:val="14"/>
              </w:rPr>
              <w:t>Frequency</w:t>
            </w:r>
          </w:p>
        </w:tc>
        <w:tc>
          <w:tcPr>
            <w:tcW w:type="dxa" w:w="3528"/>
            <w:shd w:fill="0D1B2A"/>
          </w:tcPr>
          <w:p>
            <w:r/>
            <w:r>
              <w:rPr>
                <w:b/>
                <w:color w:val="FFFFFF"/>
                <w:sz w:val="14"/>
              </w:rPr>
              <w:t>Operating purpose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GRV-HR06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Structured Interview Guide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Hiring Manager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Per interview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Creates consistent, job-related questions and notes tied to the position success profile.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GRV-HR07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Work Availability &amp; Scheduling Fit Check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Hiring Manager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Per candidate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Verifies availability, role coverage need, scheduling constraints, and realistic fit before hiring.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GRV-HR08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Restaurant Values &amp; Team-Fit Evidence Page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Hiring Manager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Per finalist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Documents observable alignment with guest care, teamwork, honesty, pace, humility, and accountability.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GRV-HR09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Reference / Prior Experience Review Record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Hiring Manager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Per approved process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Records relevant prior experience or references according to approved policy and applicable law.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GRV-HR10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Selection Decision &amp; Offer Approval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GM / Hiring Manager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Per offer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Documents why a candidate is selected, offer terms, approval, start date, and onboarding handoff.</w:t>
            </w:r>
          </w:p>
        </w:tc>
      </w:tr>
    </w:tbl>
    <w:p>
      <w:r>
        <w:t>Area review question: What fact did this area make visible that was previously hidden, delayed, disputed, or handled by memory?</w:t>
      </w:r>
    </w:p>
    <w:p>
      <w:r>
        <w:br w:type="page"/>
      </w:r>
    </w:p>
    <w:p>
      <w:pPr>
        <w:pStyle w:val="Heading2"/>
      </w:pPr>
      <w:r>
        <w:t>3. Onboarding Handoff &amp; First-90-Day Retention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74"/>
        <w:gridCol w:w="2074"/>
        <w:gridCol w:w="2074"/>
        <w:gridCol w:w="2074"/>
        <w:gridCol w:w="2074"/>
      </w:tblGrid>
      <w:tr>
        <w:tc>
          <w:tcPr>
            <w:tcW w:type="dxa" w:w="1080"/>
            <w:shd w:fill="0D1B2A"/>
          </w:tcPr>
          <w:p>
            <w:r/>
            <w:r>
              <w:rPr>
                <w:b/>
                <w:color w:val="FFFFFF"/>
                <w:sz w:val="14"/>
              </w:rPr>
              <w:t>ID</w:t>
            </w:r>
          </w:p>
        </w:tc>
        <w:tc>
          <w:tcPr>
            <w:tcW w:type="dxa" w:w="2304"/>
            <w:shd w:fill="0D1B2A"/>
          </w:tcPr>
          <w:p>
            <w:r/>
            <w:r>
              <w:rPr>
                <w:b/>
                <w:color w:val="FFFFFF"/>
                <w:sz w:val="14"/>
              </w:rPr>
              <w:t>Tool</w:t>
            </w:r>
          </w:p>
        </w:tc>
        <w:tc>
          <w:tcPr>
            <w:tcW w:type="dxa" w:w="1800"/>
            <w:shd w:fill="0D1B2A"/>
          </w:tcPr>
          <w:p>
            <w:r/>
            <w:r>
              <w:rPr>
                <w:b/>
                <w:color w:val="FFFFFF"/>
                <w:sz w:val="14"/>
              </w:rPr>
              <w:t>Owner</w:t>
            </w:r>
          </w:p>
        </w:tc>
        <w:tc>
          <w:tcPr>
            <w:tcW w:type="dxa" w:w="1656"/>
            <w:shd w:fill="0D1B2A"/>
          </w:tcPr>
          <w:p>
            <w:r/>
            <w:r>
              <w:rPr>
                <w:b/>
                <w:color w:val="FFFFFF"/>
                <w:sz w:val="14"/>
              </w:rPr>
              <w:t>Frequency</w:t>
            </w:r>
          </w:p>
        </w:tc>
        <w:tc>
          <w:tcPr>
            <w:tcW w:type="dxa" w:w="3528"/>
            <w:shd w:fill="0D1B2A"/>
          </w:tcPr>
          <w:p>
            <w:r/>
            <w:r>
              <w:rPr>
                <w:b/>
                <w:color w:val="FFFFFF"/>
                <w:sz w:val="14"/>
              </w:rPr>
              <w:t>Operating purpose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GRV-HR11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Preboarding Readiness Checklist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Manager / Trainer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Before first shift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Confirms paperwork route, uniform needs, schedule, welcome plan, trainer, first-day expectations, and contact.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GRV-HR12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First Week Fit &amp; Support Check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Manager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End of first week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Identifies confusion, schedule mismatch, training support needs, early warning signs, and retention risk.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GRV-HR13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30-Day Retention Conversation Guide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Manager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Around day 30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Creates a structured conversation about fit, support, clarity, respect, workload, training, and concerns.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GRV-HR14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60-Day Retention &amp; Development Check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Manager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Around day 60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Reviews progress, attendance, teamwork, feedback, obstacles, and next support.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GRV-HR15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90-Day Employment Fit Review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GM / Manager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Around day 90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Makes a documented keep/support/redirect decision based on evidence, training, behavior, reliability, and fit.</w:t>
            </w:r>
          </w:p>
        </w:tc>
      </w:tr>
    </w:tbl>
    <w:p>
      <w:r>
        <w:t>Area review question: What fact did this area make visible that was previously hidden, delayed, disputed, or handled by memory?</w:t>
      </w:r>
    </w:p>
    <w:p>
      <w:r>
        <w:br w:type="page"/>
      </w:r>
    </w:p>
    <w:p>
      <w:pPr>
        <w:pStyle w:val="Heading2"/>
      </w:pPr>
      <w:r>
        <w:t>4. Employee Relations &amp; Communication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74"/>
        <w:gridCol w:w="2074"/>
        <w:gridCol w:w="2074"/>
        <w:gridCol w:w="2074"/>
        <w:gridCol w:w="2074"/>
      </w:tblGrid>
      <w:tr>
        <w:tc>
          <w:tcPr>
            <w:tcW w:type="dxa" w:w="1080"/>
            <w:shd w:fill="0D1B2A"/>
          </w:tcPr>
          <w:p>
            <w:r/>
            <w:r>
              <w:rPr>
                <w:b/>
                <w:color w:val="FFFFFF"/>
                <w:sz w:val="14"/>
              </w:rPr>
              <w:t>ID</w:t>
            </w:r>
          </w:p>
        </w:tc>
        <w:tc>
          <w:tcPr>
            <w:tcW w:type="dxa" w:w="2304"/>
            <w:shd w:fill="0D1B2A"/>
          </w:tcPr>
          <w:p>
            <w:r/>
            <w:r>
              <w:rPr>
                <w:b/>
                <w:color w:val="FFFFFF"/>
                <w:sz w:val="14"/>
              </w:rPr>
              <w:t>Tool</w:t>
            </w:r>
          </w:p>
        </w:tc>
        <w:tc>
          <w:tcPr>
            <w:tcW w:type="dxa" w:w="1800"/>
            <w:shd w:fill="0D1B2A"/>
          </w:tcPr>
          <w:p>
            <w:r/>
            <w:r>
              <w:rPr>
                <w:b/>
                <w:color w:val="FFFFFF"/>
                <w:sz w:val="14"/>
              </w:rPr>
              <w:t>Owner</w:t>
            </w:r>
          </w:p>
        </w:tc>
        <w:tc>
          <w:tcPr>
            <w:tcW w:type="dxa" w:w="1656"/>
            <w:shd w:fill="0D1B2A"/>
          </w:tcPr>
          <w:p>
            <w:r/>
            <w:r>
              <w:rPr>
                <w:b/>
                <w:color w:val="FFFFFF"/>
                <w:sz w:val="14"/>
              </w:rPr>
              <w:t>Frequency</w:t>
            </w:r>
          </w:p>
        </w:tc>
        <w:tc>
          <w:tcPr>
            <w:tcW w:type="dxa" w:w="3528"/>
            <w:shd w:fill="0D1B2A"/>
          </w:tcPr>
          <w:p>
            <w:r/>
            <w:r>
              <w:rPr>
                <w:b/>
                <w:color w:val="FFFFFF"/>
                <w:sz w:val="14"/>
              </w:rPr>
              <w:t>Operating purpose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GRV-HR16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Employee Concern Intake Record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Manager / GM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Per concern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Records concerns respectfully with facts, date, people involved, urgency, privacy limits, and next routing.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GRV-HR17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Team Climate &amp; Respect Pulse Check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GM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Monthly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Surfaces trust, fairness, workload, communication, gossip, respect, safety, and morale signals.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GRV-HR18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Conflict Conversation Preparation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Manager / GM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Per conflict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Prepares facts, desired repair, boundaries, questions, and follow-up before difficult employee conversations.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GRV-HR19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Gossip, Retaliation &amp; Conduct Concern Route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GM / HR Reviewer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Per concern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Routes destructive conduct concerns through calm documentation rather than rumor, accusation, or public correction.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GRV-HR20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Employee Recognition &amp; Retention Action Log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Manager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Weekly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Captures specific recognition, retention actions, appreciation, growth opportunities, and follow-up.</w:t>
            </w:r>
          </w:p>
        </w:tc>
      </w:tr>
    </w:tbl>
    <w:p>
      <w:r>
        <w:t>Area review question: What fact did this area make visible that was previously hidden, delayed, disputed, or handled by memory?</w:t>
      </w:r>
    </w:p>
    <w:p>
      <w:r>
        <w:br w:type="page"/>
      </w:r>
    </w:p>
    <w:p>
      <w:pPr>
        <w:pStyle w:val="Heading2"/>
      </w:pPr>
      <w:r>
        <w:t>5. Fair Documentation &amp; Corrective-Action Routing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74"/>
        <w:gridCol w:w="2074"/>
        <w:gridCol w:w="2074"/>
        <w:gridCol w:w="2074"/>
        <w:gridCol w:w="2074"/>
      </w:tblGrid>
      <w:tr>
        <w:tc>
          <w:tcPr>
            <w:tcW w:type="dxa" w:w="1080"/>
            <w:shd w:fill="0D1B2A"/>
          </w:tcPr>
          <w:p>
            <w:r/>
            <w:r>
              <w:rPr>
                <w:b/>
                <w:color w:val="FFFFFF"/>
                <w:sz w:val="14"/>
              </w:rPr>
              <w:t>ID</w:t>
            </w:r>
          </w:p>
        </w:tc>
        <w:tc>
          <w:tcPr>
            <w:tcW w:type="dxa" w:w="2304"/>
            <w:shd w:fill="0D1B2A"/>
          </w:tcPr>
          <w:p>
            <w:r/>
            <w:r>
              <w:rPr>
                <w:b/>
                <w:color w:val="FFFFFF"/>
                <w:sz w:val="14"/>
              </w:rPr>
              <w:t>Tool</w:t>
            </w:r>
          </w:p>
        </w:tc>
        <w:tc>
          <w:tcPr>
            <w:tcW w:type="dxa" w:w="1800"/>
            <w:shd w:fill="0D1B2A"/>
          </w:tcPr>
          <w:p>
            <w:r/>
            <w:r>
              <w:rPr>
                <w:b/>
                <w:color w:val="FFFFFF"/>
                <w:sz w:val="14"/>
              </w:rPr>
              <w:t>Owner</w:t>
            </w:r>
          </w:p>
        </w:tc>
        <w:tc>
          <w:tcPr>
            <w:tcW w:type="dxa" w:w="1656"/>
            <w:shd w:fill="0D1B2A"/>
          </w:tcPr>
          <w:p>
            <w:r/>
            <w:r>
              <w:rPr>
                <w:b/>
                <w:color w:val="FFFFFF"/>
                <w:sz w:val="14"/>
              </w:rPr>
              <w:t>Frequency</w:t>
            </w:r>
          </w:p>
        </w:tc>
        <w:tc>
          <w:tcPr>
            <w:tcW w:type="dxa" w:w="3528"/>
            <w:shd w:fill="0D1B2A"/>
          </w:tcPr>
          <w:p>
            <w:r/>
            <w:r>
              <w:rPr>
                <w:b/>
                <w:color w:val="FFFFFF"/>
                <w:sz w:val="14"/>
              </w:rPr>
              <w:t>Operating purpose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GRV-HR21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Coaching Route Decision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Manager / GM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Per performance issue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Decides whether an issue needs coaching, retraining, schedule support, clarification, investigation, or corrective-action review.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GRV-HR22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Performance Documentation Standard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Manager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Per issue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Records objective facts, expectation, impact, prior support, employee response, next step, and review date.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GRV-HR23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Corrective-Action Review Checklist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GM / Qualified Reviewer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Before action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Confirms policy basis, consistency, evidence, employee input, protected concerns, and qualified review before action.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GRV-HR24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Attendance Pattern Review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Manager / GM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Monthly; per pattern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Reviews attendance patterns, call-outs, tardiness, approved leave, schedule fit, and support options.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GRV-HR25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Separation / Exit Learning Record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GM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Per separation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Captures reason, preventability, final paperwork route, rehire status if applicable, and system learning.</w:t>
            </w:r>
          </w:p>
        </w:tc>
      </w:tr>
    </w:tbl>
    <w:p>
      <w:r>
        <w:t>Area review question: What fact did this area make visible that was previously hidden, delayed, disputed, or handled by memory?</w:t>
      </w:r>
    </w:p>
    <w:p>
      <w:r>
        <w:br w:type="page"/>
      </w:r>
    </w:p>
    <w:p>
      <w:pPr>
        <w:pStyle w:val="Heading2"/>
      </w:pPr>
      <w:r>
        <w:t>6. Retention Scorecards &amp; Workforce Renewal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74"/>
        <w:gridCol w:w="2074"/>
        <w:gridCol w:w="2074"/>
        <w:gridCol w:w="2074"/>
        <w:gridCol w:w="2074"/>
      </w:tblGrid>
      <w:tr>
        <w:tc>
          <w:tcPr>
            <w:tcW w:type="dxa" w:w="1080"/>
            <w:shd w:fill="0D1B2A"/>
          </w:tcPr>
          <w:p>
            <w:r/>
            <w:r>
              <w:rPr>
                <w:b/>
                <w:color w:val="FFFFFF"/>
                <w:sz w:val="14"/>
              </w:rPr>
              <w:t>ID</w:t>
            </w:r>
          </w:p>
        </w:tc>
        <w:tc>
          <w:tcPr>
            <w:tcW w:type="dxa" w:w="2304"/>
            <w:shd w:fill="0D1B2A"/>
          </w:tcPr>
          <w:p>
            <w:r/>
            <w:r>
              <w:rPr>
                <w:b/>
                <w:color w:val="FFFFFF"/>
                <w:sz w:val="14"/>
              </w:rPr>
              <w:t>Tool</w:t>
            </w:r>
          </w:p>
        </w:tc>
        <w:tc>
          <w:tcPr>
            <w:tcW w:type="dxa" w:w="1800"/>
            <w:shd w:fill="0D1B2A"/>
          </w:tcPr>
          <w:p>
            <w:r/>
            <w:r>
              <w:rPr>
                <w:b/>
                <w:color w:val="FFFFFF"/>
                <w:sz w:val="14"/>
              </w:rPr>
              <w:t>Owner</w:t>
            </w:r>
          </w:p>
        </w:tc>
        <w:tc>
          <w:tcPr>
            <w:tcW w:type="dxa" w:w="1656"/>
            <w:shd w:fill="0D1B2A"/>
          </w:tcPr>
          <w:p>
            <w:r/>
            <w:r>
              <w:rPr>
                <w:b/>
                <w:color w:val="FFFFFF"/>
                <w:sz w:val="14"/>
              </w:rPr>
              <w:t>Frequency</w:t>
            </w:r>
          </w:p>
        </w:tc>
        <w:tc>
          <w:tcPr>
            <w:tcW w:type="dxa" w:w="3528"/>
            <w:shd w:fill="0D1B2A"/>
          </w:tcPr>
          <w:p>
            <w:r/>
            <w:r>
              <w:rPr>
                <w:b/>
                <w:color w:val="FFFFFF"/>
                <w:sz w:val="14"/>
              </w:rPr>
              <w:t>Operating purpose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GRV-HR26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Turnover Pattern Analysis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Owner / GM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Monthly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Finds repeat turnover by role, manager, shift, source, training path, schedule, or climate factor.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GRV-HR27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Retention Risk Register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GM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Monthly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Tracks employees at risk of leaving, root cause, support plan, owner, and review date.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GRV-HR28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Workforce Bench &amp; Internal Candidate Map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GM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Quarterly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Identifies potential shift leads, trainers, cross-trained staff, and future managers without making promises.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GRV-HR29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Monthly Workforce Health Scorecard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Owner / GM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Monthly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Scores hiring pipeline, retention, climate, open concerns, documentation quality, and staffing stability.</w:t>
            </w:r>
          </w:p>
        </w:tc>
      </w:tr>
      <w:tr>
        <w:tc>
          <w:tcPr>
            <w:tcW w:type="dxa" w:w="1080"/>
            <w:vAlign w:val="top"/>
          </w:tcPr>
          <w:p>
            <w:r/>
            <w:r>
              <w:rPr>
                <w:b w:val="0"/>
                <w:sz w:val="14"/>
              </w:rPr>
              <w:t>GRV-HR30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90-Day Retention Improvement Plan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b w:val="0"/>
                <w:sz w:val="14"/>
              </w:rPr>
              <w:t>Owner / GM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b w:val="0"/>
                <w:sz w:val="14"/>
              </w:rPr>
              <w:t>Quarterly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b w:val="0"/>
                <w:sz w:val="14"/>
              </w:rPr>
              <w:t>Turns the highest employee-lifecycle risks into a sequenced improvement plan with owners and verification.</w:t>
            </w:r>
          </w:p>
        </w:tc>
      </w:tr>
    </w:tbl>
    <w:p>
      <w:r>
        <w:t>Area review question: What fact did this area make visible that was previously hidden, delayed, disputed, or handled by memory?</w:t>
      </w:r>
    </w:p>
    <w:p>
      <w:r>
        <w:br w:type="page"/>
      </w:r>
    </w:p>
    <w:p>
      <w:pPr>
        <w:pStyle w:val="Heading1"/>
      </w:pPr>
      <w:r>
        <w:t>8. 60-Day Guided Installation Plan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2592"/>
            <w:shd w:fill="0D1B2A"/>
          </w:tcPr>
          <w:p>
            <w:r/>
            <w:r>
              <w:rPr>
                <w:b/>
                <w:color w:val="FFFFFF"/>
                <w:sz w:val="16"/>
              </w:rPr>
              <w:t>Phase</w:t>
            </w:r>
          </w:p>
        </w:tc>
        <w:tc>
          <w:tcPr>
            <w:tcW w:type="dxa" w:w="7488"/>
            <w:shd w:fill="0D1B2A"/>
          </w:tcPr>
          <w:p>
            <w:r/>
            <w:r>
              <w:rPr>
                <w:b/>
                <w:color w:val="FFFFFF"/>
                <w:sz w:val="16"/>
              </w:rPr>
              <w:t>Management focus</w:t>
            </w:r>
          </w:p>
        </w:tc>
      </w:tr>
      <w:tr>
        <w:tc>
          <w:tcPr>
            <w:tcW w:type="dxa" w:w="2592"/>
            <w:vAlign w:val="top"/>
          </w:tcPr>
          <w:p>
            <w:r/>
            <w:r>
              <w:rPr>
                <w:b w:val="0"/>
                <w:sz w:val="16"/>
              </w:rPr>
              <w:t>Days 1-30 | Stabilize</w:t>
            </w:r>
          </w:p>
        </w:tc>
        <w:tc>
          <w:tcPr>
            <w:tcW w:type="dxa" w:w="7488"/>
            <w:vAlign w:val="top"/>
          </w:tcPr>
          <w:p>
            <w:r/>
            <w:r>
              <w:rPr>
                <w:b w:val="0"/>
                <w:sz w:val="16"/>
              </w:rPr>
              <w:t>Launch the most visible controls, assign owners, clean up source records, and stop unmanaged exceptions.</w:t>
            </w:r>
          </w:p>
        </w:tc>
      </w:tr>
      <w:tr>
        <w:tc>
          <w:tcPr>
            <w:tcW w:type="dxa" w:w="2592"/>
            <w:vAlign w:val="top"/>
          </w:tcPr>
          <w:p>
            <w:r/>
            <w:r>
              <w:rPr>
                <w:b w:val="0"/>
                <w:sz w:val="16"/>
              </w:rPr>
              <w:t>Days 31-60 | Standardize</w:t>
            </w:r>
          </w:p>
        </w:tc>
        <w:tc>
          <w:tcPr>
            <w:tcW w:type="dxa" w:w="7488"/>
            <w:vAlign w:val="top"/>
          </w:tcPr>
          <w:p>
            <w:r/>
            <w:r>
              <w:rPr>
                <w:b w:val="0"/>
                <w:sz w:val="16"/>
              </w:rPr>
              <w:t>Train managers, set evidence rules, connect handoffs, and begin weekly review discipline.</w:t>
            </w:r>
          </w:p>
        </w:tc>
      </w:tr>
      <w:tr>
        <w:tc>
          <w:tcPr>
            <w:tcW w:type="dxa" w:w="2592"/>
            <w:vAlign w:val="top"/>
          </w:tcPr>
          <w:p>
            <w:r/>
            <w:r>
              <w:rPr>
                <w:b w:val="0"/>
                <w:sz w:val="16"/>
              </w:rPr>
              <w:t>Days 61-90 | Scale</w:t>
            </w:r>
          </w:p>
        </w:tc>
        <w:tc>
          <w:tcPr>
            <w:tcW w:type="dxa" w:w="7488"/>
            <w:vAlign w:val="top"/>
          </w:tcPr>
          <w:p>
            <w:r/>
            <w:r>
              <w:rPr>
                <w:b w:val="0"/>
                <w:sz w:val="16"/>
              </w:rPr>
              <w:t>Use scorecards, analyze patterns, close corrective action, and approve the next 90-day improvement plan.</w:t>
            </w:r>
          </w:p>
        </w:tc>
      </w:tr>
    </w:tbl>
    <w:p>
      <w:r>
        <w:br w:type="page"/>
      </w:r>
    </w:p>
    <w:p>
      <w:pPr>
        <w:pStyle w:val="Heading1"/>
      </w:pPr>
      <w:r>
        <w:t>9. Dashboard and Scorecard Measures</w:t>
      </w:r>
    </w:p>
    <w:p>
      <w:pPr>
        <w:pStyle w:val="ListBullet"/>
      </w:pPr>
      <w:r>
        <w:t>Open actions</w:t>
      </w:r>
    </w:p>
    <w:p>
      <w:pPr>
        <w:pStyle w:val="ListBullet"/>
      </w:pPr>
      <w:r>
        <w:t>Overdue actions</w:t>
      </w:r>
    </w:p>
    <w:p>
      <w:pPr>
        <w:pStyle w:val="ListBullet"/>
      </w:pPr>
      <w:r>
        <w:t>High-priority failures</w:t>
      </w:r>
    </w:p>
    <w:p>
      <w:pPr>
        <w:pStyle w:val="ListBullet"/>
      </w:pPr>
      <w:r>
        <w:t>Control completion rate</w:t>
      </w:r>
    </w:p>
    <w:p>
      <w:pPr>
        <w:pStyle w:val="ListBullet"/>
      </w:pPr>
      <w:r>
        <w:t>Corrective-action closure rate</w:t>
      </w:r>
    </w:p>
    <w:p>
      <w:pPr>
        <w:pStyle w:val="ListBullet"/>
      </w:pPr>
      <w:r>
        <w:t>Owner review current</w:t>
      </w:r>
    </w:p>
    <w:p>
      <w:pPr>
        <w:pStyle w:val="ListBullet"/>
      </w:pPr>
      <w:r>
        <w:t>Next 90-day priority</w:t>
      </w:r>
    </w:p>
    <w:p>
      <w:pPr>
        <w:pStyle w:val="ListBullet"/>
      </w:pPr>
      <w:r>
        <w:t>Evidence missing or stale</w:t>
      </w:r>
    </w:p>
    <w:p>
      <w:pPr>
        <w:pStyle w:val="ListBullet"/>
      </w:pPr>
      <w:r>
        <w:t>Repeat failure count</w:t>
      </w:r>
    </w:p>
    <w:p>
      <w:pPr>
        <w:pStyle w:val="ListBullet"/>
      </w:pPr>
      <w:r>
        <w:t>Qualified review required</w:t>
      </w:r>
    </w:p>
    <w:p>
      <w:r>
        <w:br w:type="page"/>
      </w:r>
    </w:p>
    <w:p>
      <w:pPr>
        <w:pStyle w:val="Heading1"/>
      </w:pPr>
      <w:r>
        <w:t>10. Corrective Action Standard</w:t>
      </w:r>
    </w:p>
    <w:p>
      <w:pPr>
        <w:pStyle w:val="ListNumber"/>
      </w:pPr>
      <w:r>
        <w:t>Define the failure in one sentence.</w:t>
      </w:r>
    </w:p>
    <w:p>
      <w:pPr>
        <w:pStyle w:val="ListNumber"/>
      </w:pPr>
      <w:r>
        <w:t>Name the source and evidence limitation.</w:t>
      </w:r>
    </w:p>
    <w:p>
      <w:pPr>
        <w:pStyle w:val="ListNumber"/>
      </w:pPr>
      <w:r>
        <w:t>Identify whether the cause is standard, training, capacity, equipment, authority, process, behavior, or outside dependency.</w:t>
      </w:r>
    </w:p>
    <w:p>
      <w:pPr>
        <w:pStyle w:val="ListNumber"/>
      </w:pPr>
      <w:r>
        <w:t>Assign one owner and one due date.</w:t>
      </w:r>
    </w:p>
    <w:p>
      <w:pPr>
        <w:pStyle w:val="ListNumber"/>
      </w:pPr>
      <w:r>
        <w:t>Verify with evidence before closing.</w:t>
      </w:r>
    </w:p>
    <w:p>
      <w:pPr>
        <w:pStyle w:val="ListNumber"/>
      </w:pPr>
      <w:r>
        <w:t>Update the system if the same failure returns.</w:t>
      </w:r>
    </w:p>
    <w:p>
      <w:r>
        <w:br w:type="page"/>
      </w:r>
    </w:p>
    <w:p>
      <w:pPr>
        <w:pStyle w:val="Heading1"/>
      </w:pPr>
      <w:r>
        <w:t>11. Source and Professional Review Notice</w:t>
      </w:r>
    </w:p>
    <w:p>
      <w:r>
        <w:t>This system organizes management records and decisions. It does not replace legal, employment, payroll, tax, accounting, engineering, safety, fire, food-code, accessibility, privacy, payment-card, insurance, public-health, or other qualified professional review. Use current federal, state, local, tribal, territorial, platform, lender, insurer, and contract requirements where applicable.</w:t>
      </w:r>
    </w:p>
    <w:p>
      <w:pPr>
        <w:pStyle w:val="Heading2"/>
      </w:pPr>
      <w:r>
        <w:t>Official Source References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3600"/>
            <w:shd w:fill="0D1B2A"/>
          </w:tcPr>
          <w:p>
            <w:r/>
            <w:r>
              <w:rPr>
                <w:b/>
                <w:color w:val="FFFFFF"/>
                <w:sz w:val="14"/>
              </w:rPr>
              <w:t>Reference</w:t>
            </w:r>
          </w:p>
        </w:tc>
        <w:tc>
          <w:tcPr>
            <w:tcW w:type="dxa" w:w="6480"/>
            <w:shd w:fill="0D1B2A"/>
          </w:tcPr>
          <w:p>
            <w:r/>
            <w:r>
              <w:rPr>
                <w:b/>
                <w:color w:val="FFFFFF"/>
                <w:sz w:val="14"/>
              </w:rPr>
              <w:t>URL</w:t>
            </w:r>
          </w:p>
        </w:tc>
      </w:tr>
      <w:tr>
        <w:tc>
          <w:tcPr>
            <w:tcW w:type="dxa" w:w="3600"/>
            <w:vAlign w:val="top"/>
          </w:tcPr>
          <w:p>
            <w:r/>
            <w:r>
              <w:rPr>
                <w:b w:val="0"/>
                <w:sz w:val="14"/>
              </w:rPr>
              <w:t>U.S. Department of Labor Restaurant Employment Toolkit</w:t>
            </w:r>
          </w:p>
        </w:tc>
        <w:tc>
          <w:tcPr>
            <w:tcW w:type="dxa" w:w="6480"/>
            <w:vAlign w:val="top"/>
          </w:tcPr>
          <w:p>
            <w:r/>
            <w:r>
              <w:rPr>
                <w:b w:val="0"/>
                <w:sz w:val="14"/>
              </w:rPr>
              <w:t>https://www.dol.gov/agencies/whd/compliance-assistance/toolkits/restaurant</w:t>
            </w:r>
          </w:p>
        </w:tc>
      </w:tr>
      <w:tr>
        <w:tc>
          <w:tcPr>
            <w:tcW w:type="dxa" w:w="3600"/>
            <w:vAlign w:val="top"/>
          </w:tcPr>
          <w:p>
            <w:r/>
            <w:r>
              <w:rPr>
                <w:b w:val="0"/>
                <w:sz w:val="14"/>
              </w:rPr>
              <w:t>EEOC Small Business Resource Center</w:t>
            </w:r>
          </w:p>
        </w:tc>
        <w:tc>
          <w:tcPr>
            <w:tcW w:type="dxa" w:w="6480"/>
            <w:vAlign w:val="top"/>
          </w:tcPr>
          <w:p>
            <w:r/>
            <w:r>
              <w:rPr>
                <w:b w:val="0"/>
                <w:sz w:val="14"/>
              </w:rPr>
              <w:t>https://www.eeoc.gov/employers/small-business</w:t>
            </w:r>
          </w:p>
        </w:tc>
      </w:tr>
      <w:tr>
        <w:tc>
          <w:tcPr>
            <w:tcW w:type="dxa" w:w="3600"/>
            <w:vAlign w:val="top"/>
          </w:tcPr>
          <w:p>
            <w:r/>
            <w:r>
              <w:rPr>
                <w:b w:val="0"/>
                <w:sz w:val="14"/>
              </w:rPr>
              <w:t>OSHA Recommended Practices for Safety and Health Programs</w:t>
            </w:r>
          </w:p>
        </w:tc>
        <w:tc>
          <w:tcPr>
            <w:tcW w:type="dxa" w:w="6480"/>
            <w:vAlign w:val="top"/>
          </w:tcPr>
          <w:p>
            <w:r/>
            <w:r>
              <w:rPr>
                <w:b w:val="0"/>
                <w:sz w:val="14"/>
              </w:rPr>
              <w:t>https://www.osha.gov/safety-management</w:t>
            </w:r>
          </w:p>
        </w:tc>
      </w:tr>
    </w:tbl>
    <w:p>
      <w:r>
        <w:t>Final operating standard: face the truth, measure the cost, build the system, and verify the result before expanding the work.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66666"/>
        <w:sz w:val="14"/>
      </w:rPr>
      <w:t>Published by Thomas Monroe Books | Author: Thomas Butler | Complete Release | 2026-08-17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b/>
        <w:color w:val="C8A24A"/>
        <w:sz w:val="16"/>
      </w:rPr>
      <w:t>THE GRAVITY SYSTEM | GRV-HR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Georgia" w:hAnsi="Georgia"/>
      <w:b/>
      <w:bCs/>
      <w:color w:val="0D1B2A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Georgia" w:hAnsi="Georgia"/>
      <w:b/>
      <w:bCs/>
      <w:color w:val="8A1F1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