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widowControl w:val="1"/>
      </w:pPr>
      <w:r>
        <w:rPr>
          <w:rFonts w:ascii="Aptos" w:hAnsi="Aptos"/>
          <w:b/>
          <w:i w:val="0"/>
          <w:color w:val="9B7428"/>
          <w:sz w:val="22"/>
        </w:rPr>
        <w:t>THE GRAVITY RESTAURANT LEADERSHIP SYSTEM</w:t>
      </w:r>
    </w:p>
    <w:p>
      <w:pPr>
        <w:spacing w:before="360" w:after="393"/>
        <w:jc w:val="center"/>
        <w:widowControl w:val="1"/>
      </w:pPr>
      <w:r>
        <w:drawing>
          <wp:inline xmlns:a="http://schemas.openxmlformats.org/drawingml/2006/main" xmlns:pic="http://schemas.openxmlformats.org/drawingml/2006/picture">
            <wp:extent cx="2148840" cy="2148840"/>
            <wp:docPr id="1" name="Picture 1" descr="The Gravity System mark" title="The Gravity System mark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gravity-system-mark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0" cy="21488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153"/>
        <w:jc w:val="center"/>
        <w:widowControl w:val="1"/>
      </w:pPr>
      <w:r>
        <w:rPr>
          <w:rFonts w:ascii="Aptos Display" w:hAnsi="Aptos Display"/>
          <w:b/>
          <w:i w:val="0"/>
          <w:color w:val="0B2545"/>
          <w:sz w:val="58"/>
        </w:rPr>
        <w:t>The Gravity Standards</w:t>
        <w:br/>
        <w:t>&amp; Intelligence Center</w:t>
      </w:r>
    </w:p>
    <w:p>
      <w:pPr>
        <w:jc w:val="center"/>
        <w:widowControl w:val="1"/>
      </w:pPr>
      <w:r>
        <w:rPr>
          <w:rFonts w:ascii="Aptos" w:hAnsi="Aptos"/>
          <w:b w:val="0"/>
          <w:i w:val="0"/>
          <w:color w:val="5C6570"/>
          <w:sz w:val="26"/>
        </w:rPr>
        <w:t>The control hub that keeps every Gravity standard current, connected, evidenced, and ready for change.</w:t>
      </w:r>
    </w:p>
    <w:p>
      <w:pPr>
        <w:spacing w:before="40" w:after="193"/>
        <w:pBdr>
          <w:bottom w:val="single" w:sz="22" w:space="1" w:color="C89B3C"/>
        </w:pBdr>
        <w:widowControl w:val="1"/>
      </w:pPr>
    </w:p>
    <w:p>
      <w:pPr>
        <w:jc w:val="center"/>
        <w:widowControl w:val="1"/>
      </w:pPr>
      <w:r>
        <w:rPr>
          <w:rFonts w:ascii="Aptos" w:hAnsi="Aptos"/>
          <w:b/>
          <w:i w:val="0"/>
          <w:color w:val="9B7428"/>
          <w:sz w:val="20"/>
        </w:rPr>
        <w:t>OPERATING MANUAL</w:t>
      </w:r>
    </w:p>
    <w:p>
      <w:pPr>
        <w:widowControl w:val="1"/>
      </w:pPr>
    </w:p>
    <w:p>
      <w:pPr>
        <w:widowControl w:val="1"/>
      </w:pPr>
    </w:p>
    <w:p>
      <w:pPr>
        <w:widowControl w:val="1"/>
      </w:pPr>
    </w:p>
    <w:p>
      <w:pPr>
        <w:jc w:val="center"/>
        <w:widowControl w:val="1"/>
      </w:pPr>
      <w:r>
        <w:rPr>
          <w:rFonts w:ascii="Aptos" w:hAnsi="Aptos"/>
          <w:b w:val="0"/>
          <w:i w:val="0"/>
          <w:color w:val="5C6570"/>
          <w:sz w:val="19"/>
        </w:rPr>
        <w:t>Published by Thomas Monroe Books</w:t>
        <w:br/>
        <w:t>Author: Thomas Butler</w:t>
      </w:r>
    </w:p>
    <w:p>
      <w:pPr>
        <w:widowControl w:val="1"/>
      </w:pPr>
      <w:r>
        <w:br w:type="page"/>
      </w:r>
    </w:p>
    <w:p>
      <w:pPr>
        <w:pStyle w:val="Heading1"/>
        <w:widowControl w:val="1"/>
        <w:keepNext w:val="1"/>
      </w:pPr>
      <w:r>
        <w:t>Publishing and Use Notice</w:t>
      </w:r>
    </w:p>
    <w:p>
      <w:pPr>
        <w:spacing w:after="113"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Copyright 2026 Thomas Monroe Books. All rights reserved. The Gravity Standards &amp; Intelligence Center is the system-wide governance and renewal layer of The Gravity Restaurant Leadership System.</w:t>
      </w:r>
    </w:p>
    <w:p>
      <w:pPr>
        <w:spacing w:after="113"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 xml:space="preserve">This product is an operational education, governance, and management resource. It is not legal, regulatory, cybersecurity, privacy, accessibility, food-safety, accounting, insurance, human-resources, or technology advice. Laws, regulations, codes, contracts, platform rules, and official guidance change and vary by jurisdiction. Qualified professionals and the applicable government or regulatory </w:t>
      </w:r>
      <w:hyperlink w:anchor="GLOSS_009" w:history="1">
        <w:r>
          <w:rPr>
            <w:rFonts w:ascii="Aptos" w:hAnsi="Aptos"/>
            <w:b w:val="0"/>
            <w:i w:val="0"/>
            <w:color w:val="0563C1"/>
            <w:sz w:val="21"/>
            <w:u w:val="single"/>
          </w:rPr>
          <w:t>authority</w:t>
        </w:r>
      </w:hyperlink>
      <w:r>
        <w:rPr>
          <w:rFonts w:ascii="Aptos" w:hAnsi="Aptos"/>
          <w:b w:val="0"/>
          <w:i w:val="0"/>
          <w:color w:val="172231"/>
          <w:sz w:val="21"/>
        </w:rPr>
        <w:t xml:space="preserve"> must be consulted when required.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rPr>
          <w:cantSplit/>
        </w:trPr>
        <w:tc>
          <w:tcPr>
            <w:tcW w:type="dxa" w:w="936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9B7428"/>
                <w:sz w:val="19"/>
              </w:rPr>
              <w:t xml:space="preserve">CONTROL RULE  </w:t>
            </w:r>
            <w:r>
              <w:rPr>
                <w:rFonts w:ascii="Aptos" w:hAnsi="Aptos"/>
                <w:b/>
                <w:i w:val="0"/>
                <w:color w:val="0B2545"/>
                <w:sz w:val="21"/>
              </w:rPr>
              <w:t>The Center may identify a change signal and organize the response. It may not declare uncertain legal or technical requirements final without the proper authority and evidence.</w:t>
            </w:r>
          </w:p>
        </w:tc>
      </w:tr>
    </w:tbl>
    <w:p>
      <w:pPr>
        <w:spacing w:after="0"/>
        <w:widowControl w:val="1"/>
      </w:pPr>
    </w:p>
    <w:p>
      <w:pPr>
        <w:pStyle w:val="Heading2"/>
        <w:widowControl w:val="1"/>
        <w:keepNext w:val="1"/>
      </w:pPr>
      <w:r>
        <w:t>Inside This Guide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2700"/>
        <w:gridCol w:w="6660"/>
      </w:tblGrid>
      <w:tr>
        <w:trPr>
          <w:cantSplit/>
        </w:trPr>
        <w:tc>
          <w:tcPr>
            <w:tcW w:type="dxa" w:w="2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Part I</w:t>
            </w:r>
          </w:p>
        </w:tc>
        <w:tc>
          <w:tcPr>
            <w:tcW w:type="dxa" w:w="6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ptos" w:hAnsi="Aptos"/>
                <w:b w:val="0"/>
                <w:i w:val="0"/>
                <w:color w:val="172231"/>
                <w:sz w:val="19"/>
              </w:rPr>
              <w:t xml:space="preserve">Architecture, governance, authority, documents, and </w:t>
            </w:r>
            <w:hyperlink w:anchor="GLOSS_104" w:history="1">
              <w:r>
                <w:rPr>
                  <w:rFonts w:ascii="Aptos" w:hAnsi="Aptos"/>
                  <w:b w:val="0"/>
                  <w:i w:val="0"/>
                  <w:color w:val="0563C1"/>
                  <w:sz w:val="19"/>
                  <w:u w:val="single"/>
                </w:rPr>
                <w:t>version control</w:t>
              </w:r>
            </w:hyperlink>
          </w:p>
        </w:tc>
      </w:tr>
      <w:tr>
        <w:trPr>
          <w:cantSplit/>
        </w:trPr>
        <w:tc>
          <w:tcPr>
            <w:tcW w:type="dxa" w:w="2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Part II</w:t>
            </w:r>
          </w:p>
        </w:tc>
        <w:tc>
          <w:tcPr>
            <w:tcW w:type="dxa" w:w="6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ptos" w:hAnsi="Aptos"/>
                <w:b w:val="0"/>
                <w:i w:val="0"/>
                <w:color w:val="172231"/>
                <w:sz w:val="19"/>
              </w:rPr>
              <w:t>External intelligence, food safety, technology, law, and public signals</w:t>
            </w:r>
          </w:p>
        </w:tc>
      </w:tr>
      <w:tr>
        <w:trPr>
          <w:cantSplit/>
        </w:trPr>
        <w:tc>
          <w:tcPr>
            <w:tcW w:type="dxa" w:w="2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Part III</w:t>
            </w:r>
          </w:p>
        </w:tc>
        <w:tc>
          <w:tcPr>
            <w:tcW w:type="dxa" w:w="6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ptos" w:hAnsi="Aptos"/>
                <w:b w:val="0"/>
                <w:i w:val="0"/>
                <w:color w:val="172231"/>
                <w:sz w:val="19"/>
              </w:rPr>
              <w:t>Cybersecurity, privacy, AI, vendors, accessibility, evidence, and audits</w:t>
            </w:r>
          </w:p>
        </w:tc>
      </w:tr>
      <w:tr>
        <w:trPr>
          <w:cantSplit/>
        </w:trPr>
        <w:tc>
          <w:tcPr>
            <w:tcW w:type="dxa" w:w="2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Part IV</w:t>
            </w:r>
          </w:p>
        </w:tc>
        <w:tc>
          <w:tcPr>
            <w:tcW w:type="dxa" w:w="6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ptos" w:hAnsi="Aptos"/>
                <w:b w:val="0"/>
                <w:i w:val="0"/>
                <w:color w:val="172231"/>
                <w:sz w:val="19"/>
              </w:rPr>
              <w:t>System health, maturity, controlled change, renewal, workbook, and tool directory</w:t>
            </w:r>
          </w:p>
        </w:tc>
      </w:tr>
    </w:tbl>
    <w:p>
      <w:pPr>
        <w:widowControl w:val="1"/>
      </w:pPr>
      <w:r>
        <w:br w:type="page"/>
      </w:r>
    </w:p>
    <w:p>
      <w:pPr>
        <w:pStyle w:val="Heading1"/>
        <w:widowControl w:val="1"/>
        <w:keepNext w:val="1"/>
      </w:pPr>
      <w:r>
        <w:t>The Management Problem This Center Solves</w:t>
      </w:r>
    </w:p>
    <w:p>
      <w:pPr>
        <w:spacing w:after="113"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 xml:space="preserve">Restaurant standards often become outdated quietly. A vendor changes a feature, a regulator revises guidance, a new manager uses an old form, an AI tool receives data nobody approved, or a training </w:t>
      </w:r>
      <w:hyperlink w:anchor="GLOSS_080" w:history="1">
        <w:r>
          <w:rPr>
            <w:rFonts w:ascii="Aptos" w:hAnsi="Aptos"/>
            <w:b w:val="0"/>
            <w:i w:val="0"/>
            <w:color w:val="0563C1"/>
            <w:sz w:val="21"/>
            <w:u w:val="single"/>
          </w:rPr>
          <w:t>record</w:t>
        </w:r>
      </w:hyperlink>
      <w:r>
        <w:rPr>
          <w:rFonts w:ascii="Aptos" w:hAnsi="Aptos"/>
          <w:b w:val="0"/>
          <w:i w:val="0"/>
          <w:color w:val="172231"/>
          <w:sz w:val="21"/>
        </w:rPr>
        <w:t xml:space="preserve"> points to a procedure that has already changed. The operation may still appear organized while its standards, </w:t>
      </w:r>
      <w:hyperlink w:anchor="GLOSS_036" w:history="1">
        <w:r>
          <w:rPr>
            <w:rFonts w:ascii="Aptos" w:hAnsi="Aptos"/>
            <w:b w:val="0"/>
            <w:i w:val="0"/>
            <w:color w:val="0563C1"/>
            <w:sz w:val="21"/>
            <w:u w:val="single"/>
          </w:rPr>
          <w:t>evidence</w:t>
        </w:r>
      </w:hyperlink>
      <w:r>
        <w:rPr>
          <w:rFonts w:ascii="Aptos" w:hAnsi="Aptos"/>
          <w:b w:val="0"/>
          <w:i w:val="0"/>
          <w:color w:val="172231"/>
          <w:sz w:val="21"/>
        </w:rPr>
        <w:t>, systems, and decisions drift apart.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rPr>
          <w:cantSplit/>
        </w:trPr>
        <w:tc>
          <w:tcPr>
            <w:tcW w:type="dxa" w:w="936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9B7428"/>
                <w:sz w:val="19"/>
              </w:rPr>
              <w:t xml:space="preserve">CENTRAL PURPOSE  </w:t>
            </w:r>
            <w:r>
              <w:rPr>
                <w:rFonts w:ascii="Aptos" w:hAnsi="Aptos"/>
                <w:b/>
                <w:i w:val="0"/>
                <w:color w:val="0B2545"/>
                <w:sz w:val="21"/>
              </w:rPr>
              <w:t>The Center creates one governed path from an external or internal signal to a verified decision, controlled release, trained user, retained evidence, and scheduled renewal.</w:t>
            </w:r>
          </w:p>
        </w:tc>
      </w:tr>
    </w:tbl>
    <w:p>
      <w:pPr>
        <w:spacing w:after="0"/>
        <w:widowControl w:val="1"/>
      </w:pPr>
    </w:p>
    <w:p>
      <w:pPr>
        <w:pStyle w:val="Heading2"/>
        <w:widowControl w:val="1"/>
        <w:keepNext w:val="1"/>
      </w:pPr>
      <w:r>
        <w:t>The intelligence-to-standard loop</w:t>
      </w:r>
    </w:p>
    <w:p>
      <w:pPr>
        <w:pStyle w:val="ListNumber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Monitor trustworthy primary sources and internal signals.</w:t>
      </w:r>
    </w:p>
    <w:p>
      <w:pPr>
        <w:pStyle w:val="ListNumber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Verify relevance, jurisdiction, status, authority, and uncertainty.</w:t>
      </w:r>
    </w:p>
    <w:p>
      <w:pPr>
        <w:pStyle w:val="ListNumber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Assess the impact on people, guests, systems, data, contracts, documents, and training.</w:t>
      </w:r>
    </w:p>
    <w:p>
      <w:pPr>
        <w:pStyle w:val="ListNumber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 xml:space="preserve">Approve, test, implement, communicate, and release the </w:t>
      </w:r>
      <w:hyperlink w:anchor="GLOSS_025" w:history="1">
        <w:r>
          <w:rPr>
            <w:rFonts w:ascii="Aptos" w:hAnsi="Aptos"/>
            <w:b w:val="0"/>
            <w:i w:val="0"/>
            <w:color w:val="0563C1"/>
            <w:sz w:val="21"/>
            <w:u w:val="single"/>
          </w:rPr>
          <w:t>controlled change</w:t>
        </w:r>
      </w:hyperlink>
      <w:r>
        <w:rPr>
          <w:rFonts w:ascii="Aptos" w:hAnsi="Aptos"/>
          <w:b w:val="0"/>
          <w:i w:val="0"/>
          <w:color w:val="172231"/>
          <w:sz w:val="21"/>
        </w:rPr>
        <w:t>.</w:t>
      </w:r>
    </w:p>
    <w:p>
      <w:pPr>
        <w:pStyle w:val="ListNumber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 xml:space="preserve">Verify the result, </w:t>
      </w:r>
      <w:hyperlink w:anchor="GLOSS_007" w:history="1">
        <w:r>
          <w:rPr>
            <w:rFonts w:ascii="Aptos" w:hAnsi="Aptos"/>
            <w:b w:val="0"/>
            <w:i w:val="0"/>
            <w:color w:val="0563C1"/>
            <w:sz w:val="21"/>
            <w:u w:val="single"/>
          </w:rPr>
          <w:t>archive</w:t>
        </w:r>
      </w:hyperlink>
      <w:r>
        <w:rPr>
          <w:rFonts w:ascii="Aptos" w:hAnsi="Aptos"/>
          <w:b w:val="0"/>
          <w:i w:val="0"/>
          <w:color w:val="172231"/>
          <w:sz w:val="21"/>
        </w:rPr>
        <w:t xml:space="preserve"> superseded versions, and schedule the next review.</w:t>
      </w:r>
    </w:p>
    <w:p>
      <w:pPr>
        <w:pStyle w:val="Heading2"/>
        <w:widowControl w:val="1"/>
        <w:keepNext w:val="1"/>
      </w:pPr>
      <w:r>
        <w:t>What the Center does not replace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Government agencies, regulators, legal counsel, auditors, insurers, assessors, payment-security professionals, or food-safety authorities.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The operational records owned by GRV-L, GRV-T, GRV-C, GRV-S, GRV-F, GRV-R, GRV-P, the POS, payroll, accounting, inventory, CRM, or vendor platforms.</w:t>
      </w:r>
    </w:p>
    <w:p>
      <w:pPr>
        <w:pStyle w:val="ListBullet"/>
        <w:keepLines/>
        <w:widowControl w:val="1"/>
      </w:pPr>
      <w:hyperlink w:anchor="GLOSS_048" w:history="1">
        <w:r>
          <w:rPr>
            <w:rFonts w:ascii="Aptos" w:hAnsi="Aptos"/>
            <w:b w:val="0"/>
            <w:i w:val="0"/>
            <w:color w:val="0563C1"/>
            <w:sz w:val="21"/>
            <w:u w:val="single"/>
          </w:rPr>
          <w:t>Incident</w:t>
        </w:r>
      </w:hyperlink>
      <w:r>
        <w:rPr>
          <w:rFonts w:ascii="Aptos" w:hAnsi="Aptos"/>
          <w:b w:val="0"/>
          <w:i w:val="0"/>
          <w:color w:val="172231"/>
          <w:sz w:val="21"/>
        </w:rPr>
        <w:t xml:space="preserve"> response, emergency action, or corrective work that must begin immediately under an approved plan.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Human judgment, hospitality, fairness, and accountability.</w:t>
      </w:r>
    </w:p>
    <w:p>
      <w:pPr>
        <w:pStyle w:val="Heading1"/>
        <w:pageBreakBefore/>
        <w:widowControl w:val="1"/>
        <w:keepNext w:val="1"/>
      </w:pPr>
      <w:r>
        <w:t>1. Center Architecture</w:t>
      </w:r>
    </w:p>
    <w:p>
      <w:pPr>
        <w:spacing w:after="113"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 xml:space="preserve">Thirty tools are organized into six </w:t>
      </w:r>
      <w:hyperlink w:anchor="GLOSS_022" w:history="1">
        <w:r>
          <w:rPr>
            <w:rFonts w:ascii="Aptos" w:hAnsi="Aptos"/>
            <w:b w:val="0"/>
            <w:i w:val="0"/>
            <w:color w:val="0563C1"/>
            <w:sz w:val="21"/>
            <w:u w:val="single"/>
          </w:rPr>
          <w:t>control</w:t>
        </w:r>
      </w:hyperlink>
      <w:r>
        <w:rPr>
          <w:rFonts w:ascii="Aptos" w:hAnsi="Aptos"/>
          <w:b w:val="0"/>
          <w:i w:val="0"/>
          <w:color w:val="172231"/>
          <w:sz w:val="21"/>
        </w:rPr>
        <w:t xml:space="preserve"> areas. The Center sits above the Gravity operating systems and governs how standards, evidence, external intelligence, and change move between them.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rPr>
          <w:cantSplit/>
        </w:trPr>
        <w:tc>
          <w:tcPr>
            <w:tcW w:type="dxa" w:w="936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9B7428"/>
                <w:sz w:val="19"/>
              </w:rPr>
              <w:t xml:space="preserve">SYSTEM IDENTITY  </w:t>
            </w:r>
            <w:r>
              <w:rPr>
                <w:rFonts w:ascii="Aptos" w:hAnsi="Aptos"/>
                <w:b/>
                <w:i w:val="0"/>
                <w:color w:val="0B2545"/>
                <w:sz w:val="21"/>
              </w:rPr>
              <w:t>Use GRV-I01 through GRV-I30 as the official tool IDs. GRV-I governs and connects the other systems; it does not duplicate their operating records.</w:t>
            </w:r>
          </w:p>
        </w:tc>
      </w:tr>
    </w:tbl>
    <w:p>
      <w:pPr>
        <w:spacing w:after="0"/>
        <w:widowControl w:val="1"/>
      </w:pPr>
    </w:p>
    <w:p>
      <w:pPr>
        <w:pStyle w:val="Heading2"/>
        <w:widowControl w:val="1"/>
        <w:keepNext w:val="1"/>
      </w:pPr>
      <w:r>
        <w:t>Governance and control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System ownership and authority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Controlled documents, versions, releases, archives, and replacement evidence</w:t>
      </w:r>
    </w:p>
    <w:p>
      <w:pPr>
        <w:pStyle w:val="Heading2"/>
        <w:widowControl w:val="1"/>
        <w:keepNext w:val="1"/>
      </w:pPr>
      <w:r>
        <w:t>Change and intelligence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Primary-source monitoring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Regulatory, industry, technology, platform, food-safety, and public-health briefs</w:t>
      </w:r>
    </w:p>
    <w:p>
      <w:pPr>
        <w:pStyle w:val="Heading2"/>
        <w:widowControl w:val="1"/>
        <w:keepNext w:val="1"/>
      </w:pPr>
      <w:r>
        <w:t>Risk and trust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Cybersecurity, privacy, consent, AI, vendors, payment environment, accessibility, and inclusion</w:t>
      </w:r>
    </w:p>
    <w:p>
      <w:pPr>
        <w:pStyle w:val="Heading2"/>
        <w:widowControl w:val="1"/>
        <w:keepNext w:val="1"/>
      </w:pPr>
      <w:r>
        <w:t>Standards verification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Requirement records, evidence traceability, deviations, audits, and cross-system tests</w:t>
      </w:r>
    </w:p>
    <w:p>
      <w:pPr>
        <w:pStyle w:val="Heading2"/>
        <w:widowControl w:val="1"/>
        <w:keepNext w:val="1"/>
      </w:pPr>
      <w:r>
        <w:t>System health</w:t>
      </w:r>
    </w:p>
    <w:p>
      <w:pPr>
        <w:pStyle w:val="ListBullet"/>
        <w:keepLines/>
        <w:widowControl w:val="1"/>
      </w:pPr>
      <w:hyperlink w:anchor="GLOSS_003" w:history="1">
        <w:r>
          <w:rPr>
            <w:rFonts w:ascii="Aptos" w:hAnsi="Aptos"/>
            <w:b w:val="0"/>
            <w:i w:val="0"/>
            <w:color w:val="0563C1"/>
            <w:sz w:val="21"/>
            <w:u w:val="single"/>
          </w:rPr>
          <w:t>Adoption</w:t>
        </w:r>
      </w:hyperlink>
      <w:r>
        <w:rPr>
          <w:rFonts w:ascii="Aptos" w:hAnsi="Aptos"/>
          <w:b w:val="0"/>
          <w:i w:val="0"/>
          <w:color w:val="172231"/>
          <w:sz w:val="21"/>
        </w:rPr>
        <w:t xml:space="preserve">, completion, </w:t>
      </w:r>
      <w:hyperlink w:anchor="GLOSS_099" w:history="1">
        <w:r>
          <w:rPr>
            <w:rFonts w:ascii="Aptos" w:hAnsi="Aptos"/>
            <w:b w:val="0"/>
            <w:i w:val="0"/>
            <w:color w:val="0563C1"/>
            <w:sz w:val="21"/>
            <w:u w:val="single"/>
          </w:rPr>
          <w:t>training currency</w:t>
        </w:r>
      </w:hyperlink>
      <w:r>
        <w:rPr>
          <w:rFonts w:ascii="Aptos" w:hAnsi="Aptos"/>
          <w:b w:val="0"/>
          <w:i w:val="0"/>
          <w:color w:val="172231"/>
          <w:sz w:val="21"/>
        </w:rPr>
        <w:t>, incident patterns, and 90-day maturity</w:t>
      </w:r>
    </w:p>
    <w:p>
      <w:pPr>
        <w:pStyle w:val="Heading2"/>
        <w:widowControl w:val="1"/>
        <w:keepNext w:val="1"/>
      </w:pPr>
      <w:r>
        <w:t>Decision and renewal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 xml:space="preserve">Review agenda, impact assessment, </w:t>
      </w:r>
      <w:hyperlink w:anchor="GLOSS_047" w:history="1">
        <w:r>
          <w:rPr>
            <w:rFonts w:ascii="Aptos" w:hAnsi="Aptos"/>
            <w:b w:val="0"/>
            <w:i w:val="0"/>
            <w:color w:val="0563C1"/>
            <w:sz w:val="21"/>
            <w:u w:val="single"/>
          </w:rPr>
          <w:t>implementation</w:t>
        </w:r>
      </w:hyperlink>
      <w:r>
        <w:rPr>
          <w:rFonts w:ascii="Aptos" w:hAnsi="Aptos"/>
          <w:b w:val="0"/>
          <w:i w:val="0"/>
          <w:color w:val="172231"/>
          <w:sz w:val="21"/>
        </w:rPr>
        <w:t xml:space="preserve">, post-change </w:t>
      </w:r>
      <w:hyperlink w:anchor="GLOSS_103" w:history="1">
        <w:r>
          <w:rPr>
            <w:rFonts w:ascii="Aptos" w:hAnsi="Aptos"/>
            <w:b w:val="0"/>
            <w:i w:val="0"/>
            <w:color w:val="0563C1"/>
            <w:sz w:val="21"/>
            <w:u w:val="single"/>
          </w:rPr>
          <w:t>verification</w:t>
        </w:r>
      </w:hyperlink>
      <w:r>
        <w:rPr>
          <w:rFonts w:ascii="Aptos" w:hAnsi="Aptos"/>
          <w:b w:val="0"/>
          <w:i w:val="0"/>
          <w:color w:val="172231"/>
          <w:sz w:val="21"/>
        </w:rPr>
        <w:t>, and annual renewal</w:t>
      </w:r>
    </w:p>
    <w:p>
      <w:pPr>
        <w:pStyle w:val="Heading1"/>
        <w:pageBreakBefore/>
        <w:widowControl w:val="1"/>
        <w:keepNext w:val="1"/>
      </w:pPr>
      <w:r>
        <w:t>2. Governance, Roles, and Decision Rights</w:t>
      </w:r>
    </w:p>
    <w:p>
      <w:pPr>
        <w:spacing w:after="113"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 xml:space="preserve">Every monitored subject and controlled </w:t>
      </w:r>
      <w:hyperlink w:anchor="GLOSS_095" w:history="1">
        <w:r>
          <w:rPr>
            <w:rFonts w:ascii="Aptos" w:hAnsi="Aptos"/>
            <w:b w:val="0"/>
            <w:i w:val="0"/>
            <w:color w:val="0563C1"/>
            <w:sz w:val="21"/>
            <w:u w:val="single"/>
          </w:rPr>
          <w:t>standard</w:t>
        </w:r>
      </w:hyperlink>
      <w:r>
        <w:rPr>
          <w:rFonts w:ascii="Aptos" w:hAnsi="Aptos"/>
          <w:b w:val="0"/>
          <w:i w:val="0"/>
          <w:color w:val="172231"/>
          <w:sz w:val="21"/>
        </w:rPr>
        <w:t xml:space="preserve"> needs a named owner, an </w:t>
      </w:r>
      <w:hyperlink w:anchor="GLOSS_005" w:history="1">
        <w:r>
          <w:rPr>
            <w:rFonts w:ascii="Aptos" w:hAnsi="Aptos"/>
            <w:b w:val="0"/>
            <w:i w:val="0"/>
            <w:color w:val="0563C1"/>
            <w:sz w:val="21"/>
            <w:u w:val="single"/>
          </w:rPr>
          <w:t>approval</w:t>
        </w:r>
      </w:hyperlink>
      <w:r>
        <w:rPr>
          <w:rFonts w:ascii="Aptos" w:hAnsi="Aptos"/>
          <w:b w:val="0"/>
          <w:i w:val="0"/>
          <w:color w:val="172231"/>
          <w:sz w:val="21"/>
        </w:rPr>
        <w:t xml:space="preserve"> authority, a user, and a reviewer.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rPr>
          <w:cantSplit/>
        </w:trPr>
        <w:tc>
          <w:tcPr>
            <w:tcW w:type="dxa" w:w="936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9B7428"/>
                <w:sz w:val="19"/>
              </w:rPr>
              <w:t xml:space="preserve">DECISION RULE  </w:t>
            </w:r>
            <w:r>
              <w:rPr>
                <w:rFonts w:ascii="Aptos" w:hAnsi="Aptos"/>
                <w:b/>
                <w:i w:val="0"/>
                <w:color w:val="0B2545"/>
                <w:sz w:val="21"/>
              </w:rPr>
              <w:t>The person who discovers a signal does not automatically have authority to interpret, approve, or implement it.</w:t>
            </w:r>
          </w:p>
        </w:tc>
      </w:tr>
    </w:tbl>
    <w:p>
      <w:pPr>
        <w:spacing w:after="0"/>
        <w:widowControl w:val="1"/>
      </w:pPr>
    </w:p>
    <w:p>
      <w:pPr>
        <w:pStyle w:val="Heading2"/>
        <w:widowControl w:val="1"/>
        <w:keepNext w:val="1"/>
      </w:pPr>
      <w:r>
        <w:t>Owner or executive sponsor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 xml:space="preserve">Approves risk acceptance, system </w:t>
      </w:r>
      <w:hyperlink w:anchor="GLOSS_092" w:history="1">
        <w:r>
          <w:rPr>
            <w:rFonts w:ascii="Aptos" w:hAnsi="Aptos"/>
            <w:b w:val="0"/>
            <w:i w:val="0"/>
            <w:color w:val="0563C1"/>
            <w:sz w:val="21"/>
            <w:u w:val="single"/>
          </w:rPr>
          <w:t>scope</w:t>
        </w:r>
      </w:hyperlink>
      <w:r>
        <w:rPr>
          <w:rFonts w:ascii="Aptos" w:hAnsi="Aptos"/>
          <w:b w:val="0"/>
          <w:i w:val="0"/>
          <w:color w:val="172231"/>
          <w:sz w:val="21"/>
        </w:rPr>
        <w:t>, authority, major changes, and annual renewal.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 xml:space="preserve">Ensures </w:t>
      </w:r>
      <w:hyperlink w:anchor="GLOSS_075" w:history="1">
        <w:r>
          <w:rPr>
            <w:rFonts w:ascii="Aptos" w:hAnsi="Aptos"/>
            <w:b w:val="0"/>
            <w:i w:val="0"/>
            <w:color w:val="0563C1"/>
            <w:sz w:val="21"/>
            <w:u w:val="single"/>
          </w:rPr>
          <w:t>qualified review</w:t>
        </w:r>
      </w:hyperlink>
      <w:r>
        <w:rPr>
          <w:rFonts w:ascii="Aptos" w:hAnsi="Aptos"/>
          <w:b w:val="0"/>
          <w:i w:val="0"/>
          <w:color w:val="172231"/>
          <w:sz w:val="21"/>
        </w:rPr>
        <w:t xml:space="preserve"> is obtained when the Center cannot determine a legal or technical requirement.</w:t>
      </w:r>
    </w:p>
    <w:p>
      <w:pPr>
        <w:pStyle w:val="Heading2"/>
        <w:widowControl w:val="1"/>
        <w:keepNext w:val="1"/>
      </w:pPr>
      <w:r>
        <w:t>General manager or systems lead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Runs the recurring review, assigns system owners, resolves cross-system conflicts, and protects execution capacity.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Limits the active change portfolio so the restaurant can implement and verify it.</w:t>
      </w:r>
    </w:p>
    <w:p>
      <w:pPr>
        <w:pStyle w:val="Heading2"/>
        <w:widowControl w:val="1"/>
        <w:keepNext w:val="1"/>
      </w:pPr>
      <w:r>
        <w:t>Standards owner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Maintains the controlled register, versions, effective dates, replacement evidence, and review calendar.</w:t>
      </w:r>
    </w:p>
    <w:p>
      <w:pPr>
        <w:pStyle w:val="Heading2"/>
        <w:widowControl w:val="1"/>
        <w:keepNext w:val="1"/>
      </w:pPr>
      <w:r>
        <w:t>Intelligence owner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Monitors approved sources, records signals, separates final requirements from proposals or commentary, and prepares decision briefs.</w:t>
      </w:r>
    </w:p>
    <w:p>
      <w:pPr>
        <w:pStyle w:val="Heading2"/>
        <w:widowControl w:val="1"/>
        <w:keepNext w:val="1"/>
      </w:pPr>
      <w:r>
        <w:t>Subject owner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Food safety, HR, privacy, security, AI, accessibility, payment, technology, finance, and operational owners assess their domain and supply evidence.</w:t>
      </w:r>
    </w:p>
    <w:p>
      <w:pPr>
        <w:pStyle w:val="Heading2"/>
        <w:widowControl w:val="1"/>
        <w:keepNext w:val="1"/>
      </w:pPr>
      <w:r>
        <w:t>Independent reviewer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 xml:space="preserve">Tests implementation and evidence without approving their own material </w:t>
      </w:r>
      <w:hyperlink w:anchor="GLOSS_038" w:history="1">
        <w:r>
          <w:rPr>
            <w:rFonts w:ascii="Aptos" w:hAnsi="Aptos"/>
            <w:b w:val="0"/>
            <w:i w:val="0"/>
            <w:color w:val="0563C1"/>
            <w:sz w:val="21"/>
            <w:u w:val="single"/>
          </w:rPr>
          <w:t>exception</w:t>
        </w:r>
      </w:hyperlink>
      <w:r>
        <w:rPr>
          <w:rFonts w:ascii="Aptos" w:hAnsi="Aptos"/>
          <w:b w:val="0"/>
          <w:i w:val="0"/>
          <w:color w:val="172231"/>
          <w:sz w:val="21"/>
        </w:rPr>
        <w:t xml:space="preserve"> when practical.</w:t>
      </w:r>
    </w:p>
    <w:p>
      <w:pPr>
        <w:pStyle w:val="Heading1"/>
        <w:pageBreakBefore/>
        <w:widowControl w:val="1"/>
        <w:keepNext w:val="1"/>
      </w:pPr>
      <w:r>
        <w:t>3. Standards Hierarchy and Authority</w:t>
      </w:r>
    </w:p>
    <w:p>
      <w:pPr>
        <w:spacing w:after="113"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The Center prevents local habits, vendor advice, or Gravity materials from being treated as more authoritative than a controlling requirement.</w:t>
      </w:r>
    </w:p>
    <w:p>
      <w:pPr>
        <w:pStyle w:val="Heading2"/>
        <w:widowControl w:val="1"/>
        <w:keepNext w:val="1"/>
      </w:pPr>
      <w:r>
        <w:t>Typical hierarchy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Applicable law and regulation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License, permit, health-department, fire, building, and other authority requirements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Court order, settlement, binding contract, insurance condition, and payment or platform obligation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 xml:space="preserve">Approved company policy and </w:t>
      </w:r>
      <w:hyperlink w:anchor="GLOSS_045" w:history="1">
        <w:r>
          <w:rPr>
            <w:rFonts w:ascii="Aptos" w:hAnsi="Aptos"/>
            <w:b w:val="0"/>
            <w:i w:val="0"/>
            <w:color w:val="0563C1"/>
            <w:sz w:val="21"/>
            <w:u w:val="single"/>
          </w:rPr>
          <w:t>Gravity standard</w:t>
        </w:r>
      </w:hyperlink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SOP, work instruction, checklist, form, training aid, and local practice</w:t>
      </w:r>
    </w:p>
    <w:p>
      <w:pPr>
        <w:pStyle w:val="Heading2"/>
        <w:widowControl w:val="1"/>
        <w:keepNext w:val="1"/>
      </w:pPr>
      <w:r>
        <w:t>Conflict handling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Record the exact conflict and affected jurisdiction.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Pause implementation when the risk of choosing incorrectly is material.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Obtain qualified review and document the decision source.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Update all dependent documents rather than changing one visible copy.</w:t>
      </w:r>
    </w:p>
    <w:p>
      <w:pPr>
        <w:pStyle w:val="Heading2"/>
        <w:widowControl w:val="1"/>
        <w:keepNext w:val="1"/>
      </w:pPr>
      <w:r>
        <w:t>Jurisdiction discipline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FDA Food Code materials are model guidance; state and local authorities typically regulate restaurants.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Federal resources do not replace state and local wage, leave, licensing, tax, health, alcohol, privacy, accessibility, or employment requirements.</w:t>
      </w:r>
    </w:p>
    <w:p>
      <w:pPr>
        <w:pStyle w:val="Heading1"/>
        <w:pageBreakBefore/>
        <w:widowControl w:val="1"/>
        <w:keepNext w:val="1"/>
      </w:pPr>
      <w:r>
        <w:t>4. Controlled Document and Version Lifecycle</w:t>
      </w:r>
    </w:p>
    <w:p>
      <w:pPr>
        <w:spacing w:after="113"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 document is controlled only when its identity, owner, current version, effective date, location, distribution, review, and retirement are visible.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rPr>
          <w:cantSplit/>
        </w:trPr>
        <w:tc>
          <w:tcPr>
            <w:tcW w:type="dxa" w:w="936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9B7428"/>
                <w:sz w:val="19"/>
              </w:rPr>
              <w:t xml:space="preserve">ONE-MASTER RULE  </w:t>
            </w:r>
            <w:r>
              <w:rPr>
                <w:rFonts w:ascii="Aptos" w:hAnsi="Aptos"/>
                <w:b/>
                <w:i w:val="0"/>
                <w:color w:val="0B2545"/>
                <w:sz w:val="21"/>
              </w:rPr>
              <w:t>Every active standard has one approved master. Convenience copies must identify the master and be replaced when the master changes.</w:t>
            </w:r>
          </w:p>
        </w:tc>
      </w:tr>
    </w:tbl>
    <w:p>
      <w:pPr>
        <w:spacing w:after="0"/>
        <w:widowControl w:val="1"/>
      </w:pPr>
    </w:p>
    <w:p>
      <w:pPr>
        <w:pStyle w:val="Heading2"/>
        <w:widowControl w:val="1"/>
        <w:keepNext w:val="1"/>
      </w:pPr>
      <w:r>
        <w:t>Lifecycle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Draft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Subject review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Approval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Release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Training and distribution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Use and evidence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Scheduled review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Revision, renewal, or retirement</w:t>
      </w:r>
    </w:p>
    <w:p>
      <w:pPr>
        <w:pStyle w:val="Heading2"/>
        <w:widowControl w:val="1"/>
        <w:keepNext w:val="1"/>
      </w:pPr>
      <w:r>
        <w:t>Release minimums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Document ID and title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Version and effective date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Change reason and source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Approver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Superseded version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Affected users and training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Controlled master location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Replacement verification</w:t>
      </w:r>
    </w:p>
    <w:p>
      <w:pPr>
        <w:pStyle w:val="Heading2"/>
        <w:widowControl w:val="1"/>
        <w:keepNext w:val="1"/>
      </w:pPr>
      <w:r>
        <w:t>Archive rule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Archive only after the current master is available and access is verified.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Retain records according to approved legal, contractual, insurance, tax, employment, privacy, and operational requirements.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Do not destroy material records subject to investigation, audit, claim, incident, hold, or dispute.</w:t>
      </w:r>
    </w:p>
    <w:p>
      <w:pPr>
        <w:pStyle w:val="Heading1"/>
        <w:pageBreakBefore/>
        <w:widowControl w:val="1"/>
        <w:keepNext w:val="1"/>
      </w:pPr>
      <w:r>
        <w:t>5. External Intelligence Function</w:t>
      </w:r>
    </w:p>
    <w:p>
      <w:pPr>
        <w:spacing w:after="113"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Intelligence is not a stream of articles. It is a governed method for deciding whether a new fact changes a standard, risk, test, or priority.</w:t>
      </w:r>
    </w:p>
    <w:p>
      <w:pPr>
        <w:pStyle w:val="Heading2"/>
        <w:widowControl w:val="1"/>
        <w:keepNext w:val="1"/>
      </w:pPr>
      <w:r>
        <w:t>Source tiers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Primary: official government, regulator, standards body, contract, vendor release, court, or original research owner.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Secondary: professional association, legal or technical analysis, insurer, auditor, advisor, or respected trade publication.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Unverified: social posts, vendor claims, summaries without a source, anecdotes, or AI-generated output.</w:t>
      </w:r>
    </w:p>
    <w:p>
      <w:pPr>
        <w:pStyle w:val="Heading2"/>
        <w:widowControl w:val="1"/>
        <w:keepNext w:val="1"/>
      </w:pPr>
      <w:r>
        <w:t>Signal qualification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Source and publication date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Final, proposed, draft, advisory, enforcement, incident, research, or opinion status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Jurisdiction and effective date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Affected system, people, guests, data, contract, or process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Confidence and unresolved questions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Expiration or next-check date</w:t>
      </w:r>
    </w:p>
    <w:p>
      <w:pPr>
        <w:pStyle w:val="Heading2"/>
        <w:widowControl w:val="1"/>
        <w:keepNext w:val="1"/>
      </w:pPr>
      <w:r>
        <w:t>Response choices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Record only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Monitor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Seek qualified review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Run a controlled test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Implement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Communicate urgently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Reject or archive as not relevant</w:t>
      </w:r>
    </w:p>
    <w:p>
      <w:pPr>
        <w:pStyle w:val="Heading1"/>
        <w:pageBreakBefore/>
        <w:widowControl w:val="1"/>
        <w:keepNext w:val="1"/>
      </w:pPr>
      <w:r>
        <w:t>6. Regulatory, Employment, and Consumer Change Monitoring</w:t>
      </w:r>
    </w:p>
    <w:p>
      <w:pPr>
        <w:spacing w:after="113"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The Center organizes legal and regulatory signals but requires the applicable authority or qualified professional to determine obligations.</w:t>
      </w:r>
    </w:p>
    <w:p>
      <w:pPr>
        <w:pStyle w:val="Heading2"/>
        <w:widowControl w:val="1"/>
        <w:keepNext w:val="1"/>
      </w:pPr>
      <w:r>
        <w:t>Monitoring domains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Wage, hour, tip, scheduling, leave, youth employment, posters, records, and classification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Equal employment, accommodation, harassment, retaliation, hiring, and employee relations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Advertising, offers, reviews, endorsements, email, text, calls, consent, and opt-out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Health, safety, alcohol, licensing, tax, payment, accessibility, privacy, and data breach requirements</w:t>
      </w:r>
    </w:p>
    <w:p>
      <w:pPr>
        <w:pStyle w:val="Heading2"/>
        <w:widowControl w:val="1"/>
        <w:keepNext w:val="1"/>
      </w:pPr>
      <w:r>
        <w:t>Required distinctions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Federal versus state versus local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Proposed versus final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Publication date versus effective date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Guidance versus enforceable requirement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Applies to this employer, location, technology, transaction, or audience versus does not apply</w:t>
      </w:r>
    </w:p>
    <w:p>
      <w:pPr>
        <w:pStyle w:val="Heading2"/>
        <w:widowControl w:val="1"/>
        <w:keepNext w:val="1"/>
      </w:pPr>
      <w:r>
        <w:t>Official starting points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U.S. Department of Labor Restaurant Employment Toolkit and Wage and Hour guidance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EEOC small-business and employment guidance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OSHA restaurant and small-business safety resources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FTC business guidance and Consumer Reviews and Testimonials Rule resources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FCC telemarketing and TCPA materials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ADA.gov Title III and web-accessibility guidance</w:t>
      </w:r>
    </w:p>
    <w:p>
      <w:pPr>
        <w:pStyle w:val="Heading1"/>
        <w:pageBreakBefore/>
        <w:widowControl w:val="1"/>
        <w:keepNext w:val="1"/>
      </w:pPr>
      <w:r>
        <w:t>7. Food Safety and Public Health Intelligence</w:t>
      </w:r>
    </w:p>
    <w:p>
      <w:pPr>
        <w:spacing w:after="113"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Food-safety intelligence must move quickly without confusing a national model code with the restaurant's adopted local requirements.</w:t>
      </w:r>
    </w:p>
    <w:p>
      <w:pPr>
        <w:pStyle w:val="Heading2"/>
        <w:widowControl w:val="1"/>
        <w:keepNext w:val="1"/>
      </w:pPr>
      <w:r>
        <w:t>Official sources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FDA Food Code and Supplement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State and local retail food codes and health-department alerts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CDC, FDA, USDA, and local outbreak, recall, allergen, employee-health, and public-health information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Approved supplier, distributor, manufacturer, and product notices</w:t>
      </w:r>
    </w:p>
    <w:p>
      <w:pPr>
        <w:pStyle w:val="Heading2"/>
        <w:widowControl w:val="1"/>
        <w:keepNext w:val="1"/>
      </w:pPr>
      <w:r>
        <w:t>Current baseline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FDA identifies the 2022 Food Code, including its 2024 Supplement, as the most recent edition as of this release.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Adoption varies across states and local jurisdictions; the applicable authority must be verified.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The Food Code is model guidance intended to support consistent retail and foodservice safety controls.</w:t>
      </w:r>
    </w:p>
    <w:p>
      <w:pPr>
        <w:pStyle w:val="Heading2"/>
        <w:widowControl w:val="1"/>
        <w:keepNext w:val="1"/>
      </w:pPr>
      <w:r>
        <w:t>Change route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Identify affected food, supplier, equipment, employee-health rule, process, or location.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Apply urgent approved controls and preserve records.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Update GRV-S SOPs, GRV-F food-control records, training, forms, and verification together.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Close only after the local requirement and operational result are verified.</w:t>
      </w:r>
    </w:p>
    <w:p>
      <w:pPr>
        <w:pStyle w:val="Heading1"/>
        <w:pageBreakBefore/>
        <w:widowControl w:val="1"/>
        <w:keepNext w:val="1"/>
      </w:pPr>
      <w:r>
        <w:t>8. Industry, Consumer, Technology, and Platform Intelligence</w:t>
      </w:r>
    </w:p>
    <w:p>
      <w:pPr>
        <w:spacing w:after="113"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 popular technology or trend becomes relevant only when it improves a defined restaurant outcome without creating unacceptable cost, complexity, risk, or loss of hospitality.</w:t>
      </w:r>
    </w:p>
    <w:p>
      <w:pPr>
        <w:pStyle w:val="Heading2"/>
        <w:widowControl w:val="1"/>
        <w:keepNext w:val="1"/>
      </w:pPr>
      <w:r>
        <w:t>Industry context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The National Restaurant Association's 2026 outlook emphasizes persistent cost pressure, uneven traffic, workforce development, digital ordering, automation, AI, data analytics, and guest connection.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Its research supports technology as an opportunity for efficiency and experience, not as a substitute for management standards.</w:t>
      </w:r>
    </w:p>
    <w:p>
      <w:pPr>
        <w:pStyle w:val="Heading2"/>
        <w:widowControl w:val="1"/>
        <w:keepNext w:val="1"/>
      </w:pPr>
      <w:r>
        <w:t>Technology review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Purpose and expected outcome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Total cost, fees, implementation load, and contract term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Integration, data ownership, portability, access, security, privacy, and availability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Employee and guest accessibility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Manual fallback and exit</w:t>
      </w:r>
    </w:p>
    <w:p>
      <w:pPr>
        <w:pStyle w:val="ListBullet"/>
        <w:keepLines/>
        <w:widowControl w:val="1"/>
      </w:pPr>
      <w:hyperlink w:anchor="GLOSS_072" w:history="1">
        <w:r>
          <w:rPr>
            <w:rFonts w:ascii="Aptos" w:hAnsi="Aptos"/>
            <w:b w:val="0"/>
            <w:i w:val="0"/>
            <w:color w:val="0563C1"/>
            <w:sz w:val="21"/>
            <w:u w:val="single"/>
          </w:rPr>
          <w:t>Pilot</w:t>
        </w:r>
      </w:hyperlink>
      <w:r>
        <w:rPr>
          <w:rFonts w:ascii="Aptos" w:hAnsi="Aptos"/>
          <w:b w:val="0"/>
          <w:i w:val="0"/>
          <w:color w:val="172231"/>
          <w:sz w:val="21"/>
        </w:rPr>
        <w:t>, success measure, guardrail, and stop rule</w:t>
      </w:r>
    </w:p>
    <w:p>
      <w:pPr>
        <w:pStyle w:val="Heading2"/>
        <w:widowControl w:val="1"/>
        <w:keepNext w:val="1"/>
      </w:pPr>
      <w:r>
        <w:t>Platform-change discipline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Monitor release notes, terms, pricing, permissions, settlement rules, APIs, deprecations, support, and incident notices.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Update dependent procedures, training, access, reports, and contracts before the effective date.</w:t>
      </w:r>
    </w:p>
    <w:p>
      <w:pPr>
        <w:pStyle w:val="Heading1"/>
        <w:pageBreakBefore/>
        <w:widowControl w:val="1"/>
        <w:keepNext w:val="1"/>
      </w:pPr>
      <w:r>
        <w:t>9. Cybersecurity Governance</w:t>
      </w:r>
    </w:p>
    <w:p>
      <w:pPr>
        <w:spacing w:after="113"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Restaurants depend on connected POS, payment, payroll, scheduling, inventory, delivery, CRM, Wi-Fi, email, devices, and vendor platforms. Security therefore belongs in operating governance.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rPr>
          <w:cantSplit/>
        </w:trPr>
        <w:tc>
          <w:tcPr>
            <w:tcW w:type="dxa" w:w="936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9B7428"/>
                <w:sz w:val="19"/>
              </w:rPr>
              <w:t xml:space="preserve">SECURITY RULE  </w:t>
            </w:r>
            <w:r>
              <w:rPr>
                <w:rFonts w:ascii="Aptos" w:hAnsi="Aptos"/>
                <w:b/>
                <w:i w:val="0"/>
                <w:color w:val="0B2545"/>
                <w:sz w:val="21"/>
              </w:rPr>
              <w:t>Do not store passwords, full payment-card data, authentication secrets, or sensitive incident details in the Center workbook or forms.</w:t>
            </w:r>
          </w:p>
        </w:tc>
      </w:tr>
    </w:tbl>
    <w:p>
      <w:pPr>
        <w:spacing w:after="0"/>
        <w:widowControl w:val="1"/>
      </w:pPr>
    </w:p>
    <w:p>
      <w:pPr>
        <w:pStyle w:val="Heading2"/>
        <w:widowControl w:val="1"/>
        <w:keepNext w:val="1"/>
      </w:pPr>
      <w:r>
        <w:t>NIST CSF 2.0 structure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Govern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Identify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Protect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Detect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Respond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Recover</w:t>
      </w:r>
    </w:p>
    <w:p>
      <w:pPr>
        <w:pStyle w:val="Heading2"/>
        <w:widowControl w:val="1"/>
        <w:keepNext w:val="1"/>
      </w:pPr>
      <w:r>
        <w:t>Restaurant baseline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Named security owner and critical system inventory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Unique accounts, least privilege, multifactor authentication where supported, and prompt access removal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Supported devices, updates, vulnerability handling, network separation, and secure configuration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 xml:space="preserve">Verified backups, restore testing, incident contacts, manual operations, and </w:t>
      </w:r>
      <w:hyperlink w:anchor="GLOSS_081" w:history="1">
        <w:r>
          <w:rPr>
            <w:rFonts w:ascii="Aptos" w:hAnsi="Aptos"/>
            <w:b w:val="0"/>
            <w:i w:val="0"/>
            <w:color w:val="0563C1"/>
            <w:sz w:val="21"/>
            <w:u w:val="single"/>
          </w:rPr>
          <w:t>recovery</w:t>
        </w:r>
      </w:hyperlink>
      <w:r>
        <w:rPr>
          <w:rFonts w:ascii="Aptos" w:hAnsi="Aptos"/>
          <w:b w:val="0"/>
          <w:i w:val="0"/>
          <w:color w:val="172231"/>
          <w:sz w:val="21"/>
        </w:rPr>
        <w:t xml:space="preserve"> priorities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Vendor security and notification terms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Employee phishing, credential, device, and reporting training</w:t>
      </w:r>
    </w:p>
    <w:p>
      <w:pPr>
        <w:pStyle w:val="Heading2"/>
        <w:widowControl w:val="1"/>
        <w:keepNext w:val="1"/>
      </w:pPr>
      <w:r>
        <w:t>External baselines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NIST CSF 2.0 provides voluntary outcomes for organizations of any size.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 xml:space="preserve">CISA Cross-Sector Cybersecurity Performance Goals prioritize high-impact </w:t>
      </w:r>
      <w:hyperlink w:anchor="GLOSS_012" w:history="1">
        <w:r>
          <w:rPr>
            <w:rFonts w:ascii="Aptos" w:hAnsi="Aptos"/>
            <w:b w:val="0"/>
            <w:i w:val="0"/>
            <w:color w:val="0563C1"/>
            <w:sz w:val="21"/>
            <w:u w:val="single"/>
          </w:rPr>
          <w:t>baseline</w:t>
        </w:r>
      </w:hyperlink>
      <w:r>
        <w:rPr>
          <w:rFonts w:ascii="Aptos" w:hAnsi="Aptos"/>
          <w:b w:val="0"/>
          <w:i w:val="0"/>
          <w:color w:val="172231"/>
          <w:sz w:val="21"/>
        </w:rPr>
        <w:t xml:space="preserve"> actions.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Payment systems must be handled through the applicable PCI DSS program and qualified payment partners.</w:t>
      </w:r>
    </w:p>
    <w:p>
      <w:pPr>
        <w:pStyle w:val="Heading1"/>
        <w:pageBreakBefore/>
        <w:widowControl w:val="1"/>
        <w:keepNext w:val="1"/>
      </w:pPr>
      <w:r>
        <w:t>10. Privacy, Consent, and Responsible Data Use</w:t>
      </w:r>
    </w:p>
    <w:p>
      <w:pPr>
        <w:spacing w:after="113"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The Center applies data minimization: collect, use, share, retain, and protect only what is needed for an approved purpose.</w:t>
      </w:r>
    </w:p>
    <w:p>
      <w:pPr>
        <w:pStyle w:val="Heading2"/>
        <w:widowControl w:val="1"/>
        <w:keepNext w:val="1"/>
      </w:pPr>
      <w:r>
        <w:t>Data review questions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What data is collected and from whom?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Why is it necessary?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What notice or permission applies?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Who can access, change, export, or delete it?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Which vendors receive it?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How long is it retained and how is it corrected or deleted?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What happens if it is exposed, wrong, or used outside the purpose?</w:t>
      </w:r>
    </w:p>
    <w:p>
      <w:pPr>
        <w:pStyle w:val="Heading2"/>
        <w:widowControl w:val="1"/>
        <w:keepNext w:val="1"/>
      </w:pPr>
      <w:r>
        <w:t>Consent and communications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GRV-R controls guest permissions, suppression, preferences, campaigns, and relationship records.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The Center monitors FTC, FCC, state, platform, contract, and privacy requirements and routes changes to GRV-R.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Opt-out and revocation must be honored through approved processes and verified evidence.</w:t>
      </w:r>
    </w:p>
    <w:p>
      <w:pPr>
        <w:pStyle w:val="Heading2"/>
        <w:widowControl w:val="1"/>
        <w:keepNext w:val="1"/>
      </w:pPr>
      <w:r>
        <w:t>Privacy framework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NIST's Privacy Framework is a voluntary tool for identifying and managing privacy risk.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 framework supports governance but does not determine which laws apply to a restaurant.</w:t>
      </w:r>
    </w:p>
    <w:p>
      <w:pPr>
        <w:pStyle w:val="Heading1"/>
        <w:pageBreakBefore/>
        <w:widowControl w:val="1"/>
        <w:keepNext w:val="1"/>
      </w:pPr>
      <w:r>
        <w:t>11. AI Governance</w:t>
      </w:r>
    </w:p>
    <w:p>
      <w:pPr>
        <w:spacing w:after="113"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AI may support writing, analysis, forecasting, scheduling, training, guest communication, images, search, and administration, but each use must have a named owner and human accountability.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rPr>
          <w:cantSplit/>
        </w:trPr>
        <w:tc>
          <w:tcPr>
            <w:tcW w:type="dxa" w:w="936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9B7428"/>
                <w:sz w:val="19"/>
              </w:rPr>
              <w:t xml:space="preserve">HUMAN-ACCOUNTABILITY RULE  </w:t>
            </w:r>
            <w:r>
              <w:rPr>
                <w:rFonts w:ascii="Aptos" w:hAnsi="Aptos"/>
                <w:b/>
                <w:i w:val="0"/>
                <w:color w:val="0B2545"/>
                <w:sz w:val="21"/>
              </w:rPr>
              <w:t>AI may assist with evidence and drafts. The responsible manager remains accountable for the final fact, judgment, communication, and consequence.</w:t>
            </w:r>
          </w:p>
        </w:tc>
      </w:tr>
    </w:tbl>
    <w:p>
      <w:pPr>
        <w:spacing w:after="0"/>
        <w:widowControl w:val="1"/>
      </w:pPr>
    </w:p>
    <w:p>
      <w:pPr>
        <w:pStyle w:val="Heading2"/>
        <w:widowControl w:val="1"/>
        <w:keepNext w:val="1"/>
      </w:pPr>
      <w:r>
        <w:t>Approval minimums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Defined purpose and decision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Approved vendor, account, and data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Prohibited inputs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Human review and authority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Accuracy, bias, privacy, security, copyright, disclosure, and record risks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Test evidence, monitoring, incident route, and stop rule</w:t>
      </w:r>
    </w:p>
    <w:p>
      <w:pPr>
        <w:pStyle w:val="Heading2"/>
        <w:widowControl w:val="1"/>
        <w:keepNext w:val="1"/>
      </w:pPr>
      <w:r>
        <w:t>High-risk uses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Employment, discipline, scheduling, compensation, accommodation, food safety, allergy, health, security, legal, financial, or guest-rights decisions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Automated decisions with no meaningful human review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Use of confidential, sensitive, credential, payment, or regulated data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Synthetic reviews, undisclosed endorsements, impersonation, or deceptive content</w:t>
      </w:r>
    </w:p>
    <w:p>
      <w:pPr>
        <w:pStyle w:val="Heading2"/>
        <w:widowControl w:val="1"/>
        <w:keepNext w:val="1"/>
      </w:pPr>
      <w:r>
        <w:t>NIST basis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NIST AI RMF provides a voluntary risk-management framework.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The NIST Generative AI Profile identifies risks and actions specific to generative AI.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The AI RMF and related resources are evolving; the source register must track current versions.</w:t>
      </w:r>
    </w:p>
    <w:p>
      <w:pPr>
        <w:pStyle w:val="Heading1"/>
        <w:pageBreakBefore/>
        <w:widowControl w:val="1"/>
        <w:keepNext w:val="1"/>
      </w:pPr>
      <w:r>
        <w:t>12. Vendor, Payment, and Dependency Risk</w:t>
      </w:r>
    </w:p>
    <w:p>
      <w:pPr>
        <w:spacing w:after="113"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 vendor can be operationally critical even when it is inexpensive or easy to buy.</w:t>
      </w:r>
    </w:p>
    <w:p>
      <w:pPr>
        <w:pStyle w:val="Heading2"/>
        <w:widowControl w:val="1"/>
        <w:keepNext w:val="1"/>
      </w:pPr>
      <w:r>
        <w:t>Criticality factors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Service interruption stops sales, payments, scheduling, payroll, food control, access, communication, or compliance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Vendor holds sensitive or business-critical data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Integration failure changes numbers or decisions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No practical manual process or replacement exists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Contract, pricing, data, or exit terms create material exposure</w:t>
      </w:r>
    </w:p>
    <w:p>
      <w:pPr>
        <w:pStyle w:val="Heading2"/>
        <w:widowControl w:val="1"/>
        <w:keepNext w:val="1"/>
      </w:pPr>
      <w:r>
        <w:t>Evidence to request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Security and privacy documentation appropriate to risk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Payment responsibility and PCI scope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Availability, backup, recovery, support, and incident notice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Data ownership, export, retention, deletion, and subprocessors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Accessibility and user support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Insurance, contract, renewal, termination, and transition terms</w:t>
      </w:r>
    </w:p>
    <w:p>
      <w:pPr>
        <w:pStyle w:val="Heading2"/>
        <w:widowControl w:val="1"/>
        <w:keepNext w:val="1"/>
      </w:pPr>
      <w:r>
        <w:t>Payment environment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PCI DSS v4.0.1 is the active PCI SSC version referenced by this release.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 xml:space="preserve">The restaurant should confirm its merchant responsibilities, </w:t>
      </w:r>
      <w:hyperlink w:anchor="GLOSS_102" w:history="1">
        <w:r>
          <w:rPr>
            <w:rFonts w:ascii="Aptos" w:hAnsi="Aptos"/>
            <w:b w:val="0"/>
            <w:i w:val="0"/>
            <w:color w:val="0563C1"/>
            <w:sz w:val="21"/>
            <w:u w:val="single"/>
          </w:rPr>
          <w:t>validation</w:t>
        </w:r>
      </w:hyperlink>
      <w:r>
        <w:rPr>
          <w:rFonts w:ascii="Aptos" w:hAnsi="Aptos"/>
          <w:b w:val="0"/>
          <w:i w:val="0"/>
          <w:color w:val="172231"/>
          <w:sz w:val="21"/>
        </w:rPr>
        <w:t xml:space="preserve"> method, service-provider status, and evidence with its acquirer, payment processor, and qualified security resources.</w:t>
      </w:r>
    </w:p>
    <w:p>
      <w:pPr>
        <w:pStyle w:val="Heading1"/>
        <w:pageBreakBefore/>
        <w:widowControl w:val="1"/>
        <w:keepNext w:val="1"/>
      </w:pPr>
      <w:r>
        <w:t>13. Accessibility and Inclusion</w:t>
      </w:r>
    </w:p>
    <w:p>
      <w:pPr>
        <w:spacing w:after="113"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Restaurants are public accommodations and must consider whether guests, applicants, and employees can access facilities, communication, digital tools, and services.</w:t>
      </w:r>
    </w:p>
    <w:p>
      <w:pPr>
        <w:pStyle w:val="Heading2"/>
        <w:widowControl w:val="1"/>
        <w:keepNext w:val="1"/>
      </w:pPr>
      <w:r>
        <w:t>Review scope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Entrances, routes, seating, counters, restrooms, parking, and alterations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Menus, signs, notices, reservations, ordering, payment, loyalty, and websites/apps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Effective communication and reasonable modifications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Hiring, onboarding, training, scheduling, workplace communication, and accommodation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Emergency information and evacuation support</w:t>
      </w:r>
    </w:p>
    <w:p>
      <w:pPr>
        <w:pStyle w:val="Heading2"/>
        <w:widowControl w:val="1"/>
        <w:keepNext w:val="1"/>
      </w:pPr>
      <w:r>
        <w:t>Official basis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ADA.gov states that Title III applies to businesses open to the public, including restaurants.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DOJ guidance explains access to goods and services and provides web-accessibility and effective-communication resources.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State and local accessibility, building, employment, and digital requirements may add obligations.</w:t>
      </w:r>
    </w:p>
    <w:p>
      <w:pPr>
        <w:pStyle w:val="Heading2"/>
        <w:widowControl w:val="1"/>
        <w:keepNext w:val="1"/>
      </w:pPr>
      <w:r>
        <w:t>Control response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Record the barrier and immediate access response.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Obtain qualified review when the correction or requirement is uncertain.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 xml:space="preserve">Assign a permanent correction, owner, </w:t>
      </w:r>
      <w:hyperlink w:anchor="GLOSS_033" w:history="1">
        <w:r>
          <w:rPr>
            <w:rFonts w:ascii="Aptos" w:hAnsi="Aptos"/>
            <w:b w:val="0"/>
            <w:i w:val="0"/>
            <w:color w:val="0563C1"/>
            <w:sz w:val="21"/>
            <w:u w:val="single"/>
          </w:rPr>
          <w:t>due date</w:t>
        </w:r>
      </w:hyperlink>
      <w:r>
        <w:rPr>
          <w:rFonts w:ascii="Aptos" w:hAnsi="Aptos"/>
          <w:b w:val="0"/>
          <w:i w:val="0"/>
          <w:color w:val="172231"/>
          <w:sz w:val="21"/>
        </w:rPr>
        <w:t>, evidence, and retest.</w:t>
      </w:r>
    </w:p>
    <w:p>
      <w:pPr>
        <w:pStyle w:val="Heading1"/>
        <w:pageBreakBefore/>
        <w:widowControl w:val="1"/>
        <w:keepNext w:val="1"/>
      </w:pPr>
      <w:r>
        <w:t>14. Requirements, Evidence, Deviations, and Audits</w:t>
      </w:r>
    </w:p>
    <w:p>
      <w:pPr>
        <w:spacing w:after="113"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 standard is dependable only when its authority, implementation, evidence, test, exception path, and correction are connected.</w:t>
      </w:r>
    </w:p>
    <w:p>
      <w:pPr>
        <w:pStyle w:val="Heading2"/>
        <w:widowControl w:val="1"/>
        <w:keepNext w:val="1"/>
      </w:pPr>
      <w:r>
        <w:t>Requirement record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Exact requirement and source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Who and what it applies to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Owner and procedure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Training and communication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Evidence and retention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 xml:space="preserve">Test method, </w:t>
      </w:r>
      <w:hyperlink w:anchor="GLOSS_043" w:history="1">
        <w:r>
          <w:rPr>
            <w:rFonts w:ascii="Aptos" w:hAnsi="Aptos"/>
            <w:b w:val="0"/>
            <w:i w:val="0"/>
            <w:color w:val="0563C1"/>
            <w:sz w:val="21"/>
            <w:u w:val="single"/>
          </w:rPr>
          <w:t>frequency</w:t>
        </w:r>
      </w:hyperlink>
      <w:r>
        <w:rPr>
          <w:rFonts w:ascii="Aptos" w:hAnsi="Aptos"/>
          <w:b w:val="0"/>
          <w:i w:val="0"/>
          <w:color w:val="172231"/>
          <w:sz w:val="21"/>
        </w:rPr>
        <w:t>, reviewer, and pass criteria</w:t>
      </w:r>
    </w:p>
    <w:p>
      <w:pPr>
        <w:pStyle w:val="Heading2"/>
        <w:widowControl w:val="1"/>
        <w:keepNext w:val="1"/>
      </w:pPr>
      <w:r>
        <w:t>Evidence quality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Specific source, exact location, version, period, as-of date, preparer, and reviewer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Visible calculation, adjustment, limitation, and result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Retained without unnecessary sensitive data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Traceable to the decision, exception, audit, or change</w:t>
      </w:r>
    </w:p>
    <w:p>
      <w:pPr>
        <w:pStyle w:val="Heading2"/>
        <w:widowControl w:val="1"/>
        <w:keepNext w:val="1"/>
      </w:pPr>
      <w:r>
        <w:t>Deviation control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Reason and scope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Risk and temporary control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Approver and qualified review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Start, expiration, monitoring, and return owner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Closure evidence</w:t>
      </w:r>
    </w:p>
    <w:p>
      <w:pPr>
        <w:pStyle w:val="Heading2"/>
        <w:widowControl w:val="1"/>
        <w:keepNext w:val="1"/>
      </w:pPr>
      <w:r>
        <w:t>Audit discipline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Test a representative sample and observe execution when necessary.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Classify findings by consequence, not by embarrassment.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Do not close a finding when the paperwork changed but the control still fails.</w:t>
      </w:r>
    </w:p>
    <w:p>
      <w:pPr>
        <w:pStyle w:val="Heading1"/>
        <w:pageBreakBefore/>
        <w:widowControl w:val="1"/>
        <w:keepNext w:val="1"/>
      </w:pPr>
      <w:r>
        <w:t>15. Cross-System Control Testing</w:t>
      </w:r>
    </w:p>
    <w:p>
      <w:pPr>
        <w:spacing w:after="113"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The same requirement can fail between systems even when each system looks complete by itself.</w:t>
      </w:r>
    </w:p>
    <w:p>
      <w:pPr>
        <w:pStyle w:val="Heading2"/>
        <w:widowControl w:val="1"/>
        <w:keepNext w:val="1"/>
      </w:pPr>
      <w:r>
        <w:t>Test examples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 food-safety change appears in the SOP, training, form, and verification record.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 guest-consent rule appears in CRM, campaigns, vendor configuration, suppression, and audit evidence.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 labor definition agrees across schedule, payroll, profitability, manager review, and source mapping.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 vendor change updates contract ownership, access, data map, fallback, training, and system reports.</w:t>
      </w:r>
    </w:p>
    <w:p>
      <w:pPr>
        <w:pStyle w:val="Heading2"/>
        <w:widowControl w:val="1"/>
        <w:keepNext w:val="1"/>
      </w:pPr>
      <w:r>
        <w:t>Six alignment checks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Definition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Source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Owner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Timing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Transfer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Evidence</w:t>
      </w:r>
    </w:p>
    <w:p>
      <w:pPr>
        <w:pStyle w:val="Heading2"/>
        <w:widowControl w:val="1"/>
        <w:keepNext w:val="1"/>
      </w:pPr>
      <w:r>
        <w:t>Failure response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Contain material risk.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Name the system of record.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Correct the conflict and dependent documents.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Retest the complete path.</w:t>
      </w:r>
    </w:p>
    <w:p>
      <w:pPr>
        <w:pStyle w:val="Heading1"/>
        <w:pageBreakBefore/>
        <w:widowControl w:val="1"/>
        <w:keepNext w:val="1"/>
      </w:pPr>
      <w:r>
        <w:t>16. System Health, Adoption, and Training Currency</w:t>
      </w:r>
    </w:p>
    <w:p>
      <w:pPr>
        <w:spacing w:after="113"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 large library is not a working system. Health depends on whether managers use the right tools, on time, and turn evidence into verified action.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rPr>
          <w:cantSplit/>
        </w:trPr>
        <w:tc>
          <w:tcPr>
            <w:tcW w:type="dxa" w:w="936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9B7428"/>
                <w:sz w:val="19"/>
              </w:rPr>
              <w:t xml:space="preserve">NO-PADDING RULE  </w:t>
            </w:r>
            <w:r>
              <w:rPr>
                <w:rFonts w:ascii="Aptos" w:hAnsi="Aptos"/>
                <w:b/>
                <w:i w:val="0"/>
                <w:color w:val="0B2545"/>
                <w:sz w:val="21"/>
              </w:rPr>
              <w:t>Retire or redesign a tool that managers repeatedly complete without producing a useful decision, control, or evidence result.</w:t>
            </w:r>
          </w:p>
        </w:tc>
      </w:tr>
    </w:tbl>
    <w:p>
      <w:pPr>
        <w:spacing w:after="0"/>
        <w:widowControl w:val="1"/>
      </w:pPr>
    </w:p>
    <w:p>
      <w:pPr>
        <w:pStyle w:val="Heading2"/>
        <w:widowControl w:val="1"/>
        <w:keepNext w:val="1"/>
      </w:pPr>
      <w:r>
        <w:t>Core health measures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Systems with current owners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Standards current and due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Required tools launched and completed on time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Records reviewed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Evidence gaps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Open exceptions and critical changes</w:t>
      </w:r>
    </w:p>
    <w:p>
      <w:pPr>
        <w:pStyle w:val="ListBullet"/>
        <w:keepLines/>
        <w:widowControl w:val="1"/>
      </w:pPr>
      <w:hyperlink w:anchor="GLOSS_008" w:history="1">
        <w:r>
          <w:rPr>
            <w:rFonts w:ascii="Aptos" w:hAnsi="Aptos"/>
            <w:b w:val="0"/>
            <w:i w:val="0"/>
            <w:color w:val="0563C1"/>
            <w:sz w:val="21"/>
            <w:u w:val="single"/>
          </w:rPr>
          <w:t>Audit pass rate</w:t>
        </w:r>
      </w:hyperlink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Training current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Actions overdue and verified closed</w:t>
      </w:r>
    </w:p>
    <w:p>
      <w:pPr>
        <w:pStyle w:val="Heading2"/>
        <w:widowControl w:val="1"/>
        <w:keepNext w:val="1"/>
      </w:pPr>
      <w:r>
        <w:t>Adoption test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Required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Usable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Completed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Reviewed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Acted on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Verified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Worth keeping</w:t>
      </w:r>
    </w:p>
    <w:p>
      <w:pPr>
        <w:pStyle w:val="Heading2"/>
        <w:widowControl w:val="1"/>
        <w:keepNext w:val="1"/>
      </w:pPr>
      <w:r>
        <w:t>Training currency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Train against the current version.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Demonstrate competence where consequence matters.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 xml:space="preserve">Refresh after </w:t>
      </w:r>
      <w:hyperlink w:anchor="GLOSS_057" w:history="1">
        <w:r>
          <w:rPr>
            <w:rFonts w:ascii="Aptos" w:hAnsi="Aptos"/>
            <w:b w:val="0"/>
            <w:i w:val="0"/>
            <w:color w:val="0563C1"/>
            <w:sz w:val="21"/>
            <w:u w:val="single"/>
          </w:rPr>
          <w:t>material change</w:t>
        </w:r>
      </w:hyperlink>
      <w:r>
        <w:rPr>
          <w:rFonts w:ascii="Aptos" w:hAnsi="Aptos"/>
          <w:b w:val="0"/>
          <w:i w:val="0"/>
          <w:color w:val="172231"/>
          <w:sz w:val="21"/>
        </w:rPr>
        <w:t>, incident, failure, or required interval.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Connect completion to the employee and the exact standard version.</w:t>
      </w:r>
    </w:p>
    <w:p>
      <w:pPr>
        <w:pStyle w:val="Heading1"/>
        <w:pageBreakBefore/>
        <w:widowControl w:val="1"/>
        <w:keepNext w:val="1"/>
      </w:pPr>
      <w:r>
        <w:t>17. Gravity 90-Day and 180-Day Maturity</w:t>
      </w:r>
    </w:p>
    <w:p>
      <w:pPr>
        <w:spacing w:after="113"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Maturity measures whether the system can produce dependable results without repeated owner rescue.</w:t>
      </w:r>
    </w:p>
    <w:p>
      <w:pPr>
        <w:pStyle w:val="Heading2"/>
        <w:widowControl w:val="1"/>
        <w:keepNext w:val="1"/>
      </w:pPr>
      <w:r>
        <w:t>Six maturity dimensions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Ownership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Standardization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Execution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Evidence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Learning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Independence</w:t>
      </w:r>
    </w:p>
    <w:p>
      <w:pPr>
        <w:pStyle w:val="Heading2"/>
        <w:widowControl w:val="1"/>
        <w:keepNext w:val="1"/>
      </w:pPr>
      <w:r>
        <w:t>90-day assessment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Rate the current state from observed evidence.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Choose the highest-risk or highest-leverage gap.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Set one 30-day action, one 60-day improvement, and one 90-day proof.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 xml:space="preserve">Do not treat the score as an external </w:t>
      </w:r>
      <w:hyperlink w:anchor="GLOSS_014" w:history="1">
        <w:r>
          <w:rPr>
            <w:rFonts w:ascii="Aptos" w:hAnsi="Aptos"/>
            <w:b w:val="0"/>
            <w:i w:val="0"/>
            <w:color w:val="0563C1"/>
            <w:sz w:val="21"/>
            <w:u w:val="single"/>
          </w:rPr>
          <w:t>benchmark</w:t>
        </w:r>
      </w:hyperlink>
      <w:r>
        <w:rPr>
          <w:rFonts w:ascii="Aptos" w:hAnsi="Aptos"/>
          <w:b w:val="0"/>
          <w:i w:val="0"/>
          <w:color w:val="172231"/>
          <w:sz w:val="21"/>
        </w:rPr>
        <w:t xml:space="preserve"> or certification.</w:t>
      </w:r>
    </w:p>
    <w:p>
      <w:pPr>
        <w:pStyle w:val="Heading2"/>
        <w:widowControl w:val="1"/>
        <w:keepNext w:val="1"/>
      </w:pPr>
      <w:r>
        <w:t>180-day roadmap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Limit the portfolio to three system priorities.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Name dependencies, resources, owners, review dates, and proof.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State what will not be attempted during the cycle.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Renew, revise, retire, or escalate at the next gate.</w:t>
      </w:r>
    </w:p>
    <w:p>
      <w:pPr>
        <w:pStyle w:val="Heading1"/>
        <w:pageBreakBefore/>
        <w:widowControl w:val="1"/>
        <w:keepNext w:val="1"/>
      </w:pPr>
      <w:r>
        <w:t>18. Review Cadence and Controlled Renewal</w:t>
      </w:r>
    </w:p>
    <w:p>
      <w:pPr>
        <w:spacing w:after="113"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The Center stays relevant through a predictable rhythm rather than emergency cleanup.</w:t>
      </w:r>
    </w:p>
    <w:p>
      <w:pPr>
        <w:pStyle w:val="Heading2"/>
        <w:widowControl w:val="1"/>
        <w:keepNext w:val="1"/>
      </w:pPr>
      <w:r>
        <w:t>Monthly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Check monitored sources and vendor notices.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Review open change signals, due standards, exceptions, audits, training gaps, incidents, and actions.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Approve no more changes than the operation can implement and verify.</w:t>
      </w:r>
    </w:p>
    <w:p>
      <w:pPr>
        <w:pStyle w:val="Heading2"/>
        <w:widowControl w:val="1"/>
        <w:keepNext w:val="1"/>
      </w:pPr>
      <w:r>
        <w:t>Quarterly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Review system ownership, cybersecurity, privacy, vendors, external trends, cross-system tests, tool adoption, and the 90-day maturity assessment.</w:t>
      </w:r>
    </w:p>
    <w:p>
      <w:pPr>
        <w:pStyle w:val="Heading2"/>
        <w:widowControl w:val="1"/>
        <w:keepNext w:val="1"/>
      </w:pPr>
      <w:r>
        <w:t>Annual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Refresh the source register and authority matrix.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Renew, revise, or retire controlled standards and tools.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Complete the annual roadmap, vendor and accessibility review, and archive verification.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Publish a change summary and schedule the next review cycle.</w:t>
      </w:r>
    </w:p>
    <w:p>
      <w:pPr>
        <w:pStyle w:val="Heading2"/>
        <w:widowControl w:val="1"/>
        <w:keepNext w:val="1"/>
      </w:pPr>
      <w:r>
        <w:t>Urgent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Use approved incident, food-safety, legal, security, accessibility, or emergency routes immediately.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 xml:space="preserve">Do not wait for the monthly meeting when harm, law, safety, payment, privacy, or </w:t>
      </w:r>
      <w:hyperlink w:anchor="GLOSS_016" w:history="1">
        <w:r>
          <w:rPr>
            <w:rFonts w:ascii="Aptos" w:hAnsi="Aptos"/>
            <w:b w:val="0"/>
            <w:i w:val="0"/>
            <w:color w:val="0563C1"/>
            <w:sz w:val="21"/>
            <w:u w:val="single"/>
          </w:rPr>
          <w:t>business continuity</w:t>
        </w:r>
      </w:hyperlink>
      <w:r>
        <w:rPr>
          <w:rFonts w:ascii="Aptos" w:hAnsi="Aptos"/>
          <w:b w:val="0"/>
          <w:i w:val="0"/>
          <w:color w:val="172231"/>
          <w:sz w:val="21"/>
        </w:rPr>
        <w:t xml:space="preserve"> requires action.</w:t>
      </w:r>
    </w:p>
    <w:p>
      <w:pPr>
        <w:pStyle w:val="Heading1"/>
        <w:pageBreakBefore/>
        <w:widowControl w:val="1"/>
        <w:keepNext w:val="1"/>
      </w:pPr>
      <w:r>
        <w:t>19. Digital Workbook Operating Standard</w:t>
      </w:r>
    </w:p>
    <w:p>
      <w:pPr>
        <w:spacing w:after="113"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The workbook is the living control center. It organizes decisions and evidence but is not the official record for every source system.</w:t>
      </w:r>
    </w:p>
    <w:p>
      <w:pPr>
        <w:pStyle w:val="Heading2"/>
        <w:widowControl w:val="1"/>
        <w:keepNext w:val="1"/>
      </w:pPr>
      <w:r>
        <w:t>Start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Read Start Here and assign the Center owner.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Complete Settings, Source Register, System Registry, Standards Register, and Document Control.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Enter a small verified test set before loading a full history.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Review Checks before interpreting the dashboard.</w:t>
      </w:r>
    </w:p>
    <w:p>
      <w:pPr>
        <w:pStyle w:val="Heading2"/>
        <w:widowControl w:val="1"/>
        <w:keepNext w:val="1"/>
      </w:pPr>
      <w:r>
        <w:t>Use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Yellow cells with blue text are manager inputs.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Cream or white cells with black text are formulas or controlled references.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Use IDs to connect signals, standards, evidence, audits, exceptions, training, changes, and actions.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Do not place passwords, payment-card data, protected health information, government identifiers, or unnecessary personal data in the workbook.</w:t>
      </w:r>
    </w:p>
    <w:p>
      <w:pPr>
        <w:pStyle w:val="Heading2"/>
        <w:widowControl w:val="1"/>
        <w:keepNext w:val="1"/>
      </w:pPr>
      <w:r>
        <w:t>Decision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Use the dashboard to locate due, overdue, high-risk, or weak controls.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Open the source row and evidence before deciding.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Assign no more than three priority changes at one review.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Verify the result and update the controlled standard.</w:t>
      </w:r>
    </w:p>
    <w:p>
      <w:pPr>
        <w:pStyle w:val="Heading1"/>
        <w:pageBreakBefore/>
        <w:widowControl w:val="1"/>
        <w:keepNext w:val="1"/>
      </w:pPr>
      <w:r>
        <w:t>20. Installation and Rollout</w:t>
      </w:r>
    </w:p>
    <w:p>
      <w:pPr>
        <w:spacing w:after="113"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Install the Center after the operating systems have identifiable owners and current files. It can begin small while the wider Gravity platform is completed.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rPr>
          <w:cantSplit/>
        </w:trPr>
        <w:tc>
          <w:tcPr>
            <w:tcW w:type="dxa" w:w="936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9B7428"/>
                <w:sz w:val="19"/>
              </w:rPr>
              <w:t xml:space="preserve">INSTALLATION GATE  </w:t>
            </w:r>
            <w:r>
              <w:rPr>
                <w:rFonts w:ascii="Aptos" w:hAnsi="Aptos"/>
                <w:b/>
                <w:i w:val="0"/>
                <w:color w:val="0B2545"/>
                <w:sz w:val="21"/>
              </w:rPr>
              <w:t>A Center is installed when it can prove which standard is current, why it controls, who owns it, who received it, how it is tested, and what happens when it changes.</w:t>
            </w:r>
          </w:p>
        </w:tc>
      </w:tr>
    </w:tbl>
    <w:p>
      <w:pPr>
        <w:spacing w:after="0"/>
        <w:widowControl w:val="1"/>
      </w:pPr>
    </w:p>
    <w:p>
      <w:pPr>
        <w:pStyle w:val="Heading2"/>
        <w:widowControl w:val="1"/>
        <w:keepNext w:val="1"/>
      </w:pPr>
      <w:r>
        <w:t>Days 1-30: establish control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Register systems, owners, sources, standards, and documents.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Identify current-versus-draft files and critical review dates.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 xml:space="preserve">Create the monthly review and urgent </w:t>
      </w:r>
      <w:hyperlink w:anchor="GLOSS_034" w:history="1">
        <w:r>
          <w:rPr>
            <w:rFonts w:ascii="Aptos" w:hAnsi="Aptos"/>
            <w:b w:val="0"/>
            <w:i w:val="0"/>
            <w:color w:val="0563C1"/>
            <w:sz w:val="21"/>
            <w:u w:val="single"/>
          </w:rPr>
          <w:t>escalation</w:t>
        </w:r>
      </w:hyperlink>
      <w:r>
        <w:rPr>
          <w:rFonts w:ascii="Aptos" w:hAnsi="Aptos"/>
          <w:b w:val="0"/>
          <w:i w:val="0"/>
          <w:color w:val="172231"/>
          <w:sz w:val="21"/>
        </w:rPr>
        <w:t xml:space="preserve"> routes.</w:t>
      </w:r>
    </w:p>
    <w:p>
      <w:pPr>
        <w:pStyle w:val="Heading2"/>
        <w:widowControl w:val="1"/>
        <w:keepNext w:val="1"/>
      </w:pPr>
      <w:r>
        <w:t>Days 31-60: verify risk and evidence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Complete initial cybersecurity, privacy, AI, vendor, accessibility, and food-safety monitoring reviews.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Run selected conformance audits and cross-system tests.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Correct the most material version, evidence, access, or training gaps.</w:t>
      </w:r>
    </w:p>
    <w:p>
      <w:pPr>
        <w:pStyle w:val="Heading2"/>
        <w:widowControl w:val="1"/>
        <w:keepNext w:val="1"/>
      </w:pPr>
      <w:r>
        <w:t>Days 61-90: renew and prove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Complete the first system health scorecard and Gravity 90-Day Maturity Assessment.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 xml:space="preserve">Implement and verify a controlled change from </w:t>
      </w:r>
      <w:hyperlink w:anchor="GLOSS_093" w:history="1">
        <w:r>
          <w:rPr>
            <w:rFonts w:ascii="Aptos" w:hAnsi="Aptos"/>
            <w:b w:val="0"/>
            <w:i w:val="0"/>
            <w:color w:val="0563C1"/>
            <w:sz w:val="21"/>
            <w:u w:val="single"/>
          </w:rPr>
          <w:t>signal</w:t>
        </w:r>
      </w:hyperlink>
      <w:r>
        <w:rPr>
          <w:rFonts w:ascii="Aptos" w:hAnsi="Aptos"/>
          <w:b w:val="0"/>
          <w:i w:val="0"/>
          <w:color w:val="172231"/>
          <w:sz w:val="21"/>
        </w:rPr>
        <w:t xml:space="preserve"> through release.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Approve the 180-day roadmap and source-review calendar.</w:t>
      </w:r>
    </w:p>
    <w:p>
      <w:pPr>
        <w:widowControl w:val="1"/>
      </w:pPr>
      <w:r>
        <w:br w:type="page"/>
      </w:r>
    </w:p>
    <w:p>
      <w:pPr>
        <w:pStyle w:val="Heading1"/>
        <w:widowControl w:val="1"/>
        <w:keepNext w:val="1"/>
      </w:pPr>
      <w:r>
        <w:t>21. Complete GRV-I Tool Directory</w:t>
      </w:r>
    </w:p>
    <w:p>
      <w:pPr>
        <w:spacing w:after="113"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The official tool IDs remain stable even when an approved form version changes.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2550"/>
        <w:gridCol w:w="2130"/>
        <w:gridCol w:w="2550"/>
        <w:gridCol w:w="2130"/>
      </w:tblGrid>
      <w:tr>
        <w:trPr>
          <w:cantSplit/>
        </w:trPr>
        <w:tc>
          <w:tcPr>
            <w:tcW w:type="dxa" w:w="2550"/>
            <w:tcMar>
              <w:top w:w="42" w:type="dxa"/>
              <w:start w:w="70" w:type="dxa"/>
              <w:bottom w:w="42" w:type="dxa"/>
              <w:end w:w="70" w:type="dxa"/>
            </w:tcMar>
            <w:shd w:fill="0B2545"/>
            <w:vAlign w:val="center"/>
          </w:tcPr>
          <w:p>
            <w:r>
              <w:rPr>
                <w:rFonts w:ascii="Aptos" w:hAnsi="Aptos"/>
                <w:b/>
                <w:i w:val="0"/>
                <w:color w:val="FFFFFF"/>
                <w:sz w:val="15"/>
              </w:rPr>
              <w:t>Tool</w:t>
            </w:r>
          </w:p>
        </w:tc>
        <w:tc>
          <w:tcPr>
            <w:tcW w:type="dxa" w:w="2130"/>
            <w:tcMar>
              <w:top w:w="42" w:type="dxa"/>
              <w:start w:w="70" w:type="dxa"/>
              <w:bottom w:w="42" w:type="dxa"/>
              <w:end w:w="70" w:type="dxa"/>
            </w:tcMar>
            <w:shd w:fill="0B2545"/>
            <w:vAlign w:val="center"/>
          </w:tcPr>
          <w:p>
            <w:r>
              <w:rPr>
                <w:rFonts w:ascii="Aptos" w:hAnsi="Aptos"/>
                <w:b/>
                <w:i w:val="0"/>
                <w:color w:val="FFFFFF"/>
                <w:sz w:val="15"/>
              </w:rPr>
              <w:t>Area / owner / frequency</w:t>
            </w:r>
          </w:p>
        </w:tc>
        <w:tc>
          <w:tcPr>
            <w:tcW w:type="dxa" w:w="2550"/>
            <w:tcMar>
              <w:top w:w="42" w:type="dxa"/>
              <w:start w:w="70" w:type="dxa"/>
              <w:bottom w:w="42" w:type="dxa"/>
              <w:end w:w="70" w:type="dxa"/>
            </w:tcMar>
            <w:shd w:fill="0B2545"/>
            <w:vAlign w:val="center"/>
          </w:tcPr>
          <w:p>
            <w:r>
              <w:rPr>
                <w:rFonts w:ascii="Aptos" w:hAnsi="Aptos"/>
                <w:b/>
                <w:i w:val="0"/>
                <w:color w:val="FFFFFF"/>
                <w:sz w:val="15"/>
              </w:rPr>
              <w:t>Tool</w:t>
            </w:r>
          </w:p>
        </w:tc>
        <w:tc>
          <w:tcPr>
            <w:tcW w:type="dxa" w:w="2130"/>
            <w:tcMar>
              <w:top w:w="42" w:type="dxa"/>
              <w:start w:w="70" w:type="dxa"/>
              <w:bottom w:w="42" w:type="dxa"/>
              <w:end w:w="70" w:type="dxa"/>
            </w:tcMar>
            <w:shd w:fill="0B2545"/>
            <w:vAlign w:val="center"/>
          </w:tcPr>
          <w:p>
            <w:r>
              <w:rPr>
                <w:rFonts w:ascii="Aptos" w:hAnsi="Aptos"/>
                <w:b/>
                <w:i w:val="0"/>
                <w:color w:val="FFFFFF"/>
                <w:sz w:val="15"/>
              </w:rPr>
              <w:t>Area / owner / frequency</w:t>
            </w:r>
          </w:p>
        </w:tc>
      </w:tr>
      <w:tr>
        <w:trPr>
          <w:cantSplit/>
        </w:trPr>
        <w:tc>
          <w:tcPr>
            <w:tcW w:type="dxa" w:w="2550"/>
            <w:tcMar>
              <w:top w:w="32" w:type="dxa"/>
              <w:start w:w="62" w:type="dxa"/>
              <w:bottom w:w="32" w:type="dxa"/>
              <w:end w:w="62" w:type="dxa"/>
            </w:tcMar>
            <w:shd w:fill="F7F1E3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4"/>
              </w:rPr>
              <w:t>GRV-I01 | System Registry &amp; Ownership Map</w:t>
            </w:r>
          </w:p>
        </w:tc>
        <w:tc>
          <w:tcPr>
            <w:tcW w:type="dxa" w:w="2130"/>
            <w:tcMar>
              <w:top w:w="32" w:type="dxa"/>
              <w:start w:w="62" w:type="dxa"/>
              <w:bottom w:w="32" w:type="dxa"/>
              <w:end w:w="62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172231"/>
                <w:sz w:val="14"/>
              </w:rPr>
              <w:t>Governance &amp; Control | Owner/GM | Quarterly and at change</w:t>
            </w:r>
          </w:p>
        </w:tc>
        <w:tc>
          <w:tcPr>
            <w:tcW w:type="dxa" w:w="2550"/>
            <w:tcMar>
              <w:top w:w="32" w:type="dxa"/>
              <w:start w:w="62" w:type="dxa"/>
              <w:bottom w:w="32" w:type="dxa"/>
              <w:end w:w="62" w:type="dxa"/>
            </w:tcMar>
            <w:shd w:fill="F7F1E3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4"/>
              </w:rPr>
              <w:t>GRV-I16 | Gravity Standard Requirement Record</w:t>
            </w:r>
          </w:p>
        </w:tc>
        <w:tc>
          <w:tcPr>
            <w:tcW w:type="dxa" w:w="2130"/>
            <w:tcMar>
              <w:top w:w="32" w:type="dxa"/>
              <w:start w:w="62" w:type="dxa"/>
              <w:bottom w:w="32" w:type="dxa"/>
              <w:end w:w="62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172231"/>
                <w:sz w:val="14"/>
              </w:rPr>
              <w:t>Standards Verification | Standards Owner | Per requirement</w:t>
            </w:r>
          </w:p>
        </w:tc>
      </w:tr>
      <w:tr>
        <w:trPr>
          <w:cantSplit/>
        </w:trPr>
        <w:tc>
          <w:tcPr>
            <w:tcW w:type="dxa" w:w="2550"/>
            <w:tcMar>
              <w:top w:w="32" w:type="dxa"/>
              <w:start w:w="62" w:type="dxa"/>
              <w:bottom w:w="32" w:type="dxa"/>
              <w:end w:w="62" w:type="dxa"/>
            </w:tcMar>
            <w:shd w:fill="F7F1E3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4"/>
              </w:rPr>
              <w:t>GRV-I02 | Standards Hierarchy &amp; Authority Matrix</w:t>
            </w:r>
          </w:p>
        </w:tc>
        <w:tc>
          <w:tcPr>
            <w:tcW w:type="dxa" w:w="2130"/>
            <w:tcMar>
              <w:top w:w="32" w:type="dxa"/>
              <w:start w:w="62" w:type="dxa"/>
              <w:bottom w:w="32" w:type="dxa"/>
              <w:end w:w="62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172231"/>
                <w:sz w:val="14"/>
              </w:rPr>
              <w:t>Governance &amp; Control | Owner/GM | Annual and at change</w:t>
            </w:r>
          </w:p>
        </w:tc>
        <w:tc>
          <w:tcPr>
            <w:tcW w:type="dxa" w:w="2550"/>
            <w:tcMar>
              <w:top w:w="32" w:type="dxa"/>
              <w:start w:w="62" w:type="dxa"/>
              <w:bottom w:w="32" w:type="dxa"/>
              <w:end w:w="62" w:type="dxa"/>
            </w:tcMar>
            <w:shd w:fill="F7F1E3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4"/>
              </w:rPr>
              <w:t>GRV-I17 | Evidence &amp; Traceability Log</w:t>
            </w:r>
          </w:p>
        </w:tc>
        <w:tc>
          <w:tcPr>
            <w:tcW w:type="dxa" w:w="2130"/>
            <w:tcMar>
              <w:top w:w="32" w:type="dxa"/>
              <w:start w:w="62" w:type="dxa"/>
              <w:bottom w:w="32" w:type="dxa"/>
              <w:end w:w="62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172231"/>
                <w:sz w:val="14"/>
              </w:rPr>
              <w:t xml:space="preserve">Standards Verification | </w:t>
            </w:r>
            <w:hyperlink w:anchor="GLOSS_097" w:history="1">
              <w:r>
                <w:rPr>
                  <w:rFonts w:ascii="Aptos" w:hAnsi="Aptos"/>
                  <w:b w:val="0"/>
                  <w:i w:val="0"/>
                  <w:color w:val="0563C1"/>
                  <w:sz w:val="14"/>
                  <w:u w:val="single"/>
                </w:rPr>
                <w:t>System Owner</w:t>
              </w:r>
            </w:hyperlink>
            <w:r>
              <w:rPr>
                <w:rFonts w:ascii="Aptos" w:hAnsi="Aptos"/>
                <w:b w:val="0"/>
                <w:i w:val="0"/>
                <w:color w:val="172231"/>
                <w:sz w:val="14"/>
              </w:rPr>
              <w:t xml:space="preserve"> | At review</w:t>
            </w:r>
          </w:p>
        </w:tc>
      </w:tr>
      <w:tr>
        <w:trPr>
          <w:cantSplit/>
        </w:trPr>
        <w:tc>
          <w:tcPr>
            <w:tcW w:type="dxa" w:w="2550"/>
            <w:tcMar>
              <w:top w:w="32" w:type="dxa"/>
              <w:start w:w="62" w:type="dxa"/>
              <w:bottom w:w="32" w:type="dxa"/>
              <w:end w:w="62" w:type="dxa"/>
            </w:tcMar>
            <w:shd w:fill="F7F1E3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4"/>
              </w:rPr>
              <w:t>GRV-I03 | Controlled Document Master Register</w:t>
            </w:r>
          </w:p>
        </w:tc>
        <w:tc>
          <w:tcPr>
            <w:tcW w:type="dxa" w:w="2130"/>
            <w:tcMar>
              <w:top w:w="32" w:type="dxa"/>
              <w:start w:w="62" w:type="dxa"/>
              <w:bottom w:w="32" w:type="dxa"/>
              <w:end w:w="62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172231"/>
                <w:sz w:val="14"/>
              </w:rPr>
              <w:t>Governance &amp; Control | Standards Owner | Monthly</w:t>
            </w:r>
          </w:p>
        </w:tc>
        <w:tc>
          <w:tcPr>
            <w:tcW w:type="dxa" w:w="2550"/>
            <w:tcMar>
              <w:top w:w="32" w:type="dxa"/>
              <w:start w:w="62" w:type="dxa"/>
              <w:bottom w:w="32" w:type="dxa"/>
              <w:end w:w="62" w:type="dxa"/>
            </w:tcMar>
            <w:shd w:fill="F7F1E3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4"/>
              </w:rPr>
              <w:t>GRV-I18 | Exception &amp; Deviation Request</w:t>
            </w:r>
          </w:p>
        </w:tc>
        <w:tc>
          <w:tcPr>
            <w:tcW w:type="dxa" w:w="2130"/>
            <w:tcMar>
              <w:top w:w="32" w:type="dxa"/>
              <w:start w:w="62" w:type="dxa"/>
              <w:bottom w:w="32" w:type="dxa"/>
              <w:end w:w="62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172231"/>
                <w:sz w:val="14"/>
              </w:rPr>
              <w:t>Standards Verification | Owner/GM | Per exception</w:t>
            </w:r>
          </w:p>
        </w:tc>
      </w:tr>
      <w:tr>
        <w:trPr>
          <w:cantSplit/>
        </w:trPr>
        <w:tc>
          <w:tcPr>
            <w:tcW w:type="dxa" w:w="2550"/>
            <w:tcMar>
              <w:top w:w="32" w:type="dxa"/>
              <w:start w:w="62" w:type="dxa"/>
              <w:bottom w:w="32" w:type="dxa"/>
              <w:end w:w="62" w:type="dxa"/>
            </w:tcMar>
            <w:shd w:fill="F7F1E3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4"/>
              </w:rPr>
              <w:t>GRV-I04 | Version History &amp; Release Record</w:t>
            </w:r>
          </w:p>
        </w:tc>
        <w:tc>
          <w:tcPr>
            <w:tcW w:type="dxa" w:w="2130"/>
            <w:tcMar>
              <w:top w:w="32" w:type="dxa"/>
              <w:start w:w="62" w:type="dxa"/>
              <w:bottom w:w="32" w:type="dxa"/>
              <w:end w:w="62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172231"/>
                <w:sz w:val="14"/>
              </w:rPr>
              <w:t>Governance &amp; Control | Standards Owner | Per release</w:t>
            </w:r>
          </w:p>
        </w:tc>
        <w:tc>
          <w:tcPr>
            <w:tcW w:type="dxa" w:w="2550"/>
            <w:tcMar>
              <w:top w:w="32" w:type="dxa"/>
              <w:start w:w="62" w:type="dxa"/>
              <w:bottom w:w="32" w:type="dxa"/>
              <w:end w:w="62" w:type="dxa"/>
            </w:tcMar>
            <w:shd w:fill="F7F1E3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4"/>
              </w:rPr>
              <w:t>GRV-I19 | Standard Conformance Audit</w:t>
            </w:r>
          </w:p>
        </w:tc>
        <w:tc>
          <w:tcPr>
            <w:tcW w:type="dxa" w:w="2130"/>
            <w:tcMar>
              <w:top w:w="32" w:type="dxa"/>
              <w:start w:w="62" w:type="dxa"/>
              <w:bottom w:w="32" w:type="dxa"/>
              <w:end w:w="62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172231"/>
                <w:sz w:val="14"/>
              </w:rPr>
              <w:t>Standards Verification | Independent Reviewer | Quarterly</w:t>
            </w:r>
          </w:p>
        </w:tc>
      </w:tr>
      <w:tr>
        <w:trPr>
          <w:cantSplit/>
        </w:trPr>
        <w:tc>
          <w:tcPr>
            <w:tcW w:type="dxa" w:w="2550"/>
            <w:tcMar>
              <w:top w:w="32" w:type="dxa"/>
              <w:start w:w="62" w:type="dxa"/>
              <w:bottom w:w="32" w:type="dxa"/>
              <w:end w:w="62" w:type="dxa"/>
            </w:tcMar>
            <w:shd w:fill="F7F1E3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4"/>
              </w:rPr>
              <w:t>GRV-I05 | Archive &amp; Replacement Authorization</w:t>
            </w:r>
          </w:p>
        </w:tc>
        <w:tc>
          <w:tcPr>
            <w:tcW w:type="dxa" w:w="2130"/>
            <w:tcMar>
              <w:top w:w="32" w:type="dxa"/>
              <w:start w:w="62" w:type="dxa"/>
              <w:bottom w:w="32" w:type="dxa"/>
              <w:end w:w="62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172231"/>
                <w:sz w:val="14"/>
              </w:rPr>
              <w:t>Governance &amp; Control | Owner/GM | Per retirement</w:t>
            </w:r>
          </w:p>
        </w:tc>
        <w:tc>
          <w:tcPr>
            <w:tcW w:type="dxa" w:w="2550"/>
            <w:tcMar>
              <w:top w:w="32" w:type="dxa"/>
              <w:start w:w="62" w:type="dxa"/>
              <w:bottom w:w="32" w:type="dxa"/>
              <w:end w:w="62" w:type="dxa"/>
            </w:tcMar>
            <w:shd w:fill="F7F1E3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4"/>
              </w:rPr>
              <w:t>GRV-I20 | Cross-System Control Test</w:t>
            </w:r>
          </w:p>
        </w:tc>
        <w:tc>
          <w:tcPr>
            <w:tcW w:type="dxa" w:w="2130"/>
            <w:tcMar>
              <w:top w:w="32" w:type="dxa"/>
              <w:start w:w="62" w:type="dxa"/>
              <w:bottom w:w="32" w:type="dxa"/>
              <w:end w:w="62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172231"/>
                <w:sz w:val="14"/>
              </w:rPr>
              <w:t>Standards Verification | GM/Systems Lead | Quarterly</w:t>
            </w:r>
          </w:p>
        </w:tc>
      </w:tr>
      <w:tr>
        <w:trPr>
          <w:cantSplit/>
        </w:trPr>
        <w:tc>
          <w:tcPr>
            <w:tcW w:type="dxa" w:w="2550"/>
            <w:tcMar>
              <w:top w:w="32" w:type="dxa"/>
              <w:start w:w="62" w:type="dxa"/>
              <w:bottom w:w="32" w:type="dxa"/>
              <w:end w:w="62" w:type="dxa"/>
            </w:tcMar>
            <w:shd w:fill="F7F1E3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4"/>
              </w:rPr>
              <w:t>GRV-I06 | External Intelligence Source Register</w:t>
            </w:r>
          </w:p>
        </w:tc>
        <w:tc>
          <w:tcPr>
            <w:tcW w:type="dxa" w:w="2130"/>
            <w:tcMar>
              <w:top w:w="32" w:type="dxa"/>
              <w:start w:w="62" w:type="dxa"/>
              <w:bottom w:w="32" w:type="dxa"/>
              <w:end w:w="62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172231"/>
                <w:sz w:val="14"/>
              </w:rPr>
              <w:t>Change &amp; Intelligence | Intelligence Owner | Monthly</w:t>
            </w:r>
          </w:p>
        </w:tc>
        <w:tc>
          <w:tcPr>
            <w:tcW w:type="dxa" w:w="2550"/>
            <w:tcMar>
              <w:top w:w="32" w:type="dxa"/>
              <w:start w:w="62" w:type="dxa"/>
              <w:bottom w:w="32" w:type="dxa"/>
              <w:end w:w="62" w:type="dxa"/>
            </w:tcMar>
            <w:shd w:fill="F7F1E3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4"/>
              </w:rPr>
              <w:t>GRV-I21 | System Health Scorecard</w:t>
            </w:r>
          </w:p>
        </w:tc>
        <w:tc>
          <w:tcPr>
            <w:tcW w:type="dxa" w:w="2130"/>
            <w:tcMar>
              <w:top w:w="32" w:type="dxa"/>
              <w:start w:w="62" w:type="dxa"/>
              <w:bottom w:w="32" w:type="dxa"/>
              <w:end w:w="62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172231"/>
                <w:sz w:val="14"/>
              </w:rPr>
              <w:t>System Health | Owner/GM | Monthly</w:t>
            </w:r>
          </w:p>
        </w:tc>
      </w:tr>
      <w:tr>
        <w:trPr>
          <w:cantSplit/>
        </w:trPr>
        <w:tc>
          <w:tcPr>
            <w:tcW w:type="dxa" w:w="2550"/>
            <w:tcMar>
              <w:top w:w="32" w:type="dxa"/>
              <w:start w:w="62" w:type="dxa"/>
              <w:bottom w:w="32" w:type="dxa"/>
              <w:end w:w="62" w:type="dxa"/>
            </w:tcMar>
            <w:shd w:fill="F7F1E3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4"/>
              </w:rPr>
              <w:t>GRV-I07 | Regulatory &amp; Legal Change Monitor</w:t>
            </w:r>
          </w:p>
        </w:tc>
        <w:tc>
          <w:tcPr>
            <w:tcW w:type="dxa" w:w="2130"/>
            <w:tcMar>
              <w:top w:w="32" w:type="dxa"/>
              <w:start w:w="62" w:type="dxa"/>
              <w:bottom w:w="32" w:type="dxa"/>
              <w:end w:w="62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172231"/>
                <w:sz w:val="14"/>
              </w:rPr>
              <w:t>Change &amp; Intelligence | Owner/Compliance Lead | Monthly and at alert</w:t>
            </w:r>
          </w:p>
        </w:tc>
        <w:tc>
          <w:tcPr>
            <w:tcW w:type="dxa" w:w="2550"/>
            <w:tcMar>
              <w:top w:w="32" w:type="dxa"/>
              <w:start w:w="62" w:type="dxa"/>
              <w:bottom w:w="32" w:type="dxa"/>
              <w:end w:w="62" w:type="dxa"/>
            </w:tcMar>
            <w:shd w:fill="F7F1E3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4"/>
              </w:rPr>
              <w:t>GRV-I22 | Tool Adoption &amp; Completion Review</w:t>
            </w:r>
          </w:p>
        </w:tc>
        <w:tc>
          <w:tcPr>
            <w:tcW w:type="dxa" w:w="2130"/>
            <w:tcMar>
              <w:top w:w="32" w:type="dxa"/>
              <w:start w:w="62" w:type="dxa"/>
              <w:bottom w:w="32" w:type="dxa"/>
              <w:end w:w="62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172231"/>
                <w:sz w:val="14"/>
              </w:rPr>
              <w:t>System Health | GM/System Owners | Monthly</w:t>
            </w:r>
          </w:p>
        </w:tc>
      </w:tr>
      <w:tr>
        <w:trPr>
          <w:cantSplit/>
        </w:trPr>
        <w:tc>
          <w:tcPr>
            <w:tcW w:type="dxa" w:w="2550"/>
            <w:tcMar>
              <w:top w:w="32" w:type="dxa"/>
              <w:start w:w="62" w:type="dxa"/>
              <w:bottom w:w="32" w:type="dxa"/>
              <w:end w:w="62" w:type="dxa"/>
            </w:tcMar>
            <w:shd w:fill="F7F1E3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4"/>
              </w:rPr>
              <w:t>GRV-I08 | Industry &amp; Consumer Trend Brief</w:t>
            </w:r>
          </w:p>
        </w:tc>
        <w:tc>
          <w:tcPr>
            <w:tcW w:type="dxa" w:w="2130"/>
            <w:tcMar>
              <w:top w:w="32" w:type="dxa"/>
              <w:start w:w="62" w:type="dxa"/>
              <w:bottom w:w="32" w:type="dxa"/>
              <w:end w:w="62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172231"/>
                <w:sz w:val="14"/>
              </w:rPr>
              <w:t>Change &amp; Intelligence | GM/Strategy Owner | Quarterly</w:t>
            </w:r>
          </w:p>
        </w:tc>
        <w:tc>
          <w:tcPr>
            <w:tcW w:type="dxa" w:w="2550"/>
            <w:tcMar>
              <w:top w:w="32" w:type="dxa"/>
              <w:start w:w="62" w:type="dxa"/>
              <w:bottom w:w="32" w:type="dxa"/>
              <w:end w:w="62" w:type="dxa"/>
            </w:tcMar>
            <w:shd w:fill="F7F1E3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4"/>
              </w:rPr>
              <w:t xml:space="preserve">GRV-I23 | Training Currency &amp; </w:t>
            </w:r>
            <w:hyperlink w:anchor="GLOSS_020" w:history="1">
              <w:r>
                <w:rPr>
                  <w:rFonts w:ascii="Aptos" w:hAnsi="Aptos"/>
                  <w:b/>
                  <w:i w:val="0"/>
                  <w:color w:val="0563C1"/>
                  <w:sz w:val="14"/>
                  <w:u w:val="single"/>
                </w:rPr>
                <w:t>Competency</w:t>
              </w:r>
            </w:hyperlink>
            <w:r>
              <w:rPr>
                <w:rFonts w:ascii="Aptos" w:hAnsi="Aptos"/>
                <w:b/>
                <w:i w:val="0"/>
                <w:color w:val="0B2545"/>
                <w:sz w:val="14"/>
              </w:rPr>
              <w:t xml:space="preserve"> Review</w:t>
            </w:r>
          </w:p>
        </w:tc>
        <w:tc>
          <w:tcPr>
            <w:tcW w:type="dxa" w:w="2130"/>
            <w:tcMar>
              <w:top w:w="32" w:type="dxa"/>
              <w:start w:w="62" w:type="dxa"/>
              <w:bottom w:w="32" w:type="dxa"/>
              <w:end w:w="62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172231"/>
                <w:sz w:val="14"/>
              </w:rPr>
              <w:t>System Health | Training Owner | Monthly</w:t>
            </w:r>
          </w:p>
        </w:tc>
      </w:tr>
      <w:tr>
        <w:trPr>
          <w:cantSplit/>
        </w:trPr>
        <w:tc>
          <w:tcPr>
            <w:tcW w:type="dxa" w:w="2550"/>
            <w:tcMar>
              <w:top w:w="32" w:type="dxa"/>
              <w:start w:w="62" w:type="dxa"/>
              <w:bottom w:w="32" w:type="dxa"/>
              <w:end w:w="62" w:type="dxa"/>
            </w:tcMar>
            <w:shd w:fill="F7F1E3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4"/>
              </w:rPr>
              <w:t>GRV-I09 | Technology &amp; Platform Change Brief</w:t>
            </w:r>
          </w:p>
        </w:tc>
        <w:tc>
          <w:tcPr>
            <w:tcW w:type="dxa" w:w="2130"/>
            <w:tcMar>
              <w:top w:w="32" w:type="dxa"/>
              <w:start w:w="62" w:type="dxa"/>
              <w:bottom w:w="32" w:type="dxa"/>
              <w:end w:w="62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172231"/>
                <w:sz w:val="14"/>
              </w:rPr>
              <w:t>Change &amp; Intelligence | Technology Owner | Monthly and at notice</w:t>
            </w:r>
          </w:p>
        </w:tc>
        <w:tc>
          <w:tcPr>
            <w:tcW w:type="dxa" w:w="2550"/>
            <w:tcMar>
              <w:top w:w="32" w:type="dxa"/>
              <w:start w:w="62" w:type="dxa"/>
              <w:bottom w:w="32" w:type="dxa"/>
              <w:end w:w="62" w:type="dxa"/>
            </w:tcMar>
            <w:shd w:fill="F7F1E3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4"/>
              </w:rPr>
              <w:t>GRV-I24 | Incident &amp; Signal Pattern Review</w:t>
            </w:r>
          </w:p>
        </w:tc>
        <w:tc>
          <w:tcPr>
            <w:tcW w:type="dxa" w:w="2130"/>
            <w:tcMar>
              <w:top w:w="32" w:type="dxa"/>
              <w:start w:w="62" w:type="dxa"/>
              <w:bottom w:w="32" w:type="dxa"/>
              <w:end w:w="62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172231"/>
                <w:sz w:val="14"/>
              </w:rPr>
              <w:t>System Health | GM/Risk Owner | Monthly</w:t>
            </w:r>
          </w:p>
        </w:tc>
      </w:tr>
      <w:tr>
        <w:trPr>
          <w:cantSplit/>
        </w:trPr>
        <w:tc>
          <w:tcPr>
            <w:tcW w:type="dxa" w:w="2550"/>
            <w:tcMar>
              <w:top w:w="32" w:type="dxa"/>
              <w:start w:w="62" w:type="dxa"/>
              <w:bottom w:w="32" w:type="dxa"/>
              <w:end w:w="62" w:type="dxa"/>
            </w:tcMar>
            <w:shd w:fill="F7F1E3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4"/>
              </w:rPr>
              <w:t>GRV-I10 | Food Safety &amp; Public Health Intelligence Brief</w:t>
            </w:r>
          </w:p>
        </w:tc>
        <w:tc>
          <w:tcPr>
            <w:tcW w:type="dxa" w:w="2130"/>
            <w:tcMar>
              <w:top w:w="32" w:type="dxa"/>
              <w:start w:w="62" w:type="dxa"/>
              <w:bottom w:w="32" w:type="dxa"/>
              <w:end w:w="62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172231"/>
                <w:sz w:val="14"/>
              </w:rPr>
              <w:t>Change &amp; Intelligence | Food Safety Owner | Monthly and at alert</w:t>
            </w:r>
          </w:p>
        </w:tc>
        <w:tc>
          <w:tcPr>
            <w:tcW w:type="dxa" w:w="2550"/>
            <w:tcMar>
              <w:top w:w="32" w:type="dxa"/>
              <w:start w:w="62" w:type="dxa"/>
              <w:bottom w:w="32" w:type="dxa"/>
              <w:end w:w="62" w:type="dxa"/>
            </w:tcMar>
            <w:shd w:fill="F7F1E3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4"/>
              </w:rPr>
              <w:t>GRV-I25 | Gravity 90-Day Maturity Assessment</w:t>
            </w:r>
          </w:p>
        </w:tc>
        <w:tc>
          <w:tcPr>
            <w:tcW w:type="dxa" w:w="2130"/>
            <w:tcMar>
              <w:top w:w="32" w:type="dxa"/>
              <w:start w:w="62" w:type="dxa"/>
              <w:bottom w:w="32" w:type="dxa"/>
              <w:end w:w="62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172231"/>
                <w:sz w:val="14"/>
              </w:rPr>
              <w:t>System Health | Owner/GM | Every 90 days</w:t>
            </w:r>
          </w:p>
        </w:tc>
      </w:tr>
      <w:tr>
        <w:trPr>
          <w:cantSplit/>
        </w:trPr>
        <w:tc>
          <w:tcPr>
            <w:tcW w:type="dxa" w:w="2550"/>
            <w:tcMar>
              <w:top w:w="32" w:type="dxa"/>
              <w:start w:w="62" w:type="dxa"/>
              <w:bottom w:w="32" w:type="dxa"/>
              <w:end w:w="62" w:type="dxa"/>
            </w:tcMar>
            <w:shd w:fill="F7F1E3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4"/>
              </w:rPr>
              <w:t>GRV-I11 | Cybersecurity Baseline Assessment</w:t>
            </w:r>
          </w:p>
        </w:tc>
        <w:tc>
          <w:tcPr>
            <w:tcW w:type="dxa" w:w="2130"/>
            <w:tcMar>
              <w:top w:w="32" w:type="dxa"/>
              <w:start w:w="62" w:type="dxa"/>
              <w:bottom w:w="32" w:type="dxa"/>
              <w:end w:w="62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172231"/>
                <w:sz w:val="14"/>
              </w:rPr>
              <w:t>Risk &amp; Trust | Owner/Technology Lead | Quarterly</w:t>
            </w:r>
          </w:p>
        </w:tc>
        <w:tc>
          <w:tcPr>
            <w:tcW w:type="dxa" w:w="2550"/>
            <w:tcMar>
              <w:top w:w="32" w:type="dxa"/>
              <w:start w:w="62" w:type="dxa"/>
              <w:bottom w:w="32" w:type="dxa"/>
              <w:end w:w="62" w:type="dxa"/>
            </w:tcMar>
            <w:shd w:fill="F7F1E3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4"/>
              </w:rPr>
              <w:t>GRV-I26 | Standards &amp; Intelligence Review Agenda</w:t>
            </w:r>
          </w:p>
        </w:tc>
        <w:tc>
          <w:tcPr>
            <w:tcW w:type="dxa" w:w="2130"/>
            <w:tcMar>
              <w:top w:w="32" w:type="dxa"/>
              <w:start w:w="62" w:type="dxa"/>
              <w:bottom w:w="32" w:type="dxa"/>
              <w:end w:w="62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172231"/>
                <w:sz w:val="14"/>
              </w:rPr>
              <w:t>Decision &amp; Renewal | Intelligence Owner | Monthly</w:t>
            </w:r>
          </w:p>
        </w:tc>
      </w:tr>
      <w:tr>
        <w:trPr>
          <w:cantSplit/>
        </w:trPr>
        <w:tc>
          <w:tcPr>
            <w:tcW w:type="dxa" w:w="2550"/>
            <w:tcMar>
              <w:top w:w="32" w:type="dxa"/>
              <w:start w:w="62" w:type="dxa"/>
              <w:bottom w:w="32" w:type="dxa"/>
              <w:end w:w="62" w:type="dxa"/>
            </w:tcMar>
            <w:shd w:fill="F7F1E3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4"/>
              </w:rPr>
              <w:t>GRV-I12 | Data Privacy &amp; Consent Review</w:t>
            </w:r>
          </w:p>
        </w:tc>
        <w:tc>
          <w:tcPr>
            <w:tcW w:type="dxa" w:w="2130"/>
            <w:tcMar>
              <w:top w:w="32" w:type="dxa"/>
              <w:start w:w="62" w:type="dxa"/>
              <w:bottom w:w="32" w:type="dxa"/>
              <w:end w:w="62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172231"/>
                <w:sz w:val="14"/>
              </w:rPr>
              <w:t>Risk &amp; Trust | Privacy Owner | Quarterly and at change</w:t>
            </w:r>
          </w:p>
        </w:tc>
        <w:tc>
          <w:tcPr>
            <w:tcW w:type="dxa" w:w="2550"/>
            <w:tcMar>
              <w:top w:w="32" w:type="dxa"/>
              <w:start w:w="62" w:type="dxa"/>
              <w:bottom w:w="32" w:type="dxa"/>
              <w:end w:w="62" w:type="dxa"/>
            </w:tcMar>
            <w:shd w:fill="F7F1E3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4"/>
              </w:rPr>
              <w:t>GRV-I27 | Change Impact Assessment</w:t>
            </w:r>
          </w:p>
        </w:tc>
        <w:tc>
          <w:tcPr>
            <w:tcW w:type="dxa" w:w="2130"/>
            <w:tcMar>
              <w:top w:w="32" w:type="dxa"/>
              <w:start w:w="62" w:type="dxa"/>
              <w:bottom w:w="32" w:type="dxa"/>
              <w:end w:w="62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172231"/>
                <w:sz w:val="14"/>
              </w:rPr>
              <w:t>Decision &amp; Renewal | Change Owner | Per change</w:t>
            </w:r>
          </w:p>
        </w:tc>
      </w:tr>
      <w:tr>
        <w:trPr>
          <w:cantSplit/>
        </w:trPr>
        <w:tc>
          <w:tcPr>
            <w:tcW w:type="dxa" w:w="2550"/>
            <w:tcMar>
              <w:top w:w="32" w:type="dxa"/>
              <w:start w:w="62" w:type="dxa"/>
              <w:bottom w:w="32" w:type="dxa"/>
              <w:end w:w="62" w:type="dxa"/>
            </w:tcMar>
            <w:shd w:fill="F7F1E3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4"/>
              </w:rPr>
              <w:t>GRV-I13 | AI Use Case &amp; Risk Review</w:t>
            </w:r>
          </w:p>
        </w:tc>
        <w:tc>
          <w:tcPr>
            <w:tcW w:type="dxa" w:w="2130"/>
            <w:tcMar>
              <w:top w:w="32" w:type="dxa"/>
              <w:start w:w="62" w:type="dxa"/>
              <w:bottom w:w="32" w:type="dxa"/>
              <w:end w:w="62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172231"/>
                <w:sz w:val="14"/>
              </w:rPr>
              <w:t>Risk &amp; Trust | Owner/AI Lead | Per use case</w:t>
            </w:r>
          </w:p>
        </w:tc>
        <w:tc>
          <w:tcPr>
            <w:tcW w:type="dxa" w:w="2550"/>
            <w:tcMar>
              <w:top w:w="32" w:type="dxa"/>
              <w:start w:w="62" w:type="dxa"/>
              <w:bottom w:w="32" w:type="dxa"/>
              <w:end w:w="62" w:type="dxa"/>
            </w:tcMar>
            <w:shd w:fill="F7F1E3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4"/>
              </w:rPr>
              <w:t>GRV-I28 | Controlled Change Implementation Plan</w:t>
            </w:r>
          </w:p>
        </w:tc>
        <w:tc>
          <w:tcPr>
            <w:tcW w:type="dxa" w:w="2130"/>
            <w:tcMar>
              <w:top w:w="32" w:type="dxa"/>
              <w:start w:w="62" w:type="dxa"/>
              <w:bottom w:w="32" w:type="dxa"/>
              <w:end w:w="62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172231"/>
                <w:sz w:val="14"/>
              </w:rPr>
              <w:t>Decision &amp; Renewal | Change Owner | Per approved change</w:t>
            </w:r>
          </w:p>
        </w:tc>
      </w:tr>
      <w:tr>
        <w:trPr>
          <w:cantSplit/>
        </w:trPr>
        <w:tc>
          <w:tcPr>
            <w:tcW w:type="dxa" w:w="2550"/>
            <w:tcMar>
              <w:top w:w="32" w:type="dxa"/>
              <w:start w:w="62" w:type="dxa"/>
              <w:bottom w:w="32" w:type="dxa"/>
              <w:end w:w="62" w:type="dxa"/>
            </w:tcMar>
            <w:shd w:fill="F7F1E3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4"/>
              </w:rPr>
              <w:t>GRV-I14 | Vendor &amp; System Risk Review</w:t>
            </w:r>
          </w:p>
        </w:tc>
        <w:tc>
          <w:tcPr>
            <w:tcW w:type="dxa" w:w="2130"/>
            <w:tcMar>
              <w:top w:w="32" w:type="dxa"/>
              <w:start w:w="62" w:type="dxa"/>
              <w:bottom w:w="32" w:type="dxa"/>
              <w:end w:w="62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172231"/>
                <w:sz w:val="14"/>
              </w:rPr>
              <w:t>Risk &amp; Trust | Owner/Technology Lead | Annual and before contract</w:t>
            </w:r>
          </w:p>
        </w:tc>
        <w:tc>
          <w:tcPr>
            <w:tcW w:type="dxa" w:w="2550"/>
            <w:tcMar>
              <w:top w:w="32" w:type="dxa"/>
              <w:start w:w="62" w:type="dxa"/>
              <w:bottom w:w="32" w:type="dxa"/>
              <w:end w:w="62" w:type="dxa"/>
            </w:tcMar>
            <w:shd w:fill="F7F1E3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4"/>
              </w:rPr>
              <w:t>GRV-I29 | Post-Implementation Verification</w:t>
            </w:r>
          </w:p>
        </w:tc>
        <w:tc>
          <w:tcPr>
            <w:tcW w:type="dxa" w:w="2130"/>
            <w:tcMar>
              <w:top w:w="32" w:type="dxa"/>
              <w:start w:w="62" w:type="dxa"/>
              <w:bottom w:w="32" w:type="dxa"/>
              <w:end w:w="62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172231"/>
                <w:sz w:val="14"/>
              </w:rPr>
              <w:t>Decision &amp; Renewal | Independent Reviewer | After implementation</w:t>
            </w:r>
          </w:p>
        </w:tc>
      </w:tr>
      <w:tr>
        <w:trPr>
          <w:cantSplit/>
        </w:trPr>
        <w:tc>
          <w:tcPr>
            <w:tcW w:type="dxa" w:w="2550"/>
            <w:tcMar>
              <w:top w:w="32" w:type="dxa"/>
              <w:start w:w="62" w:type="dxa"/>
              <w:bottom w:w="32" w:type="dxa"/>
              <w:end w:w="62" w:type="dxa"/>
            </w:tcMar>
            <w:shd w:fill="F7F1E3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4"/>
              </w:rPr>
              <w:t>GRV-I15 | Accessibility &amp; Inclusion Review</w:t>
            </w:r>
          </w:p>
        </w:tc>
        <w:tc>
          <w:tcPr>
            <w:tcW w:type="dxa" w:w="2130"/>
            <w:tcMar>
              <w:top w:w="32" w:type="dxa"/>
              <w:start w:w="62" w:type="dxa"/>
              <w:bottom w:w="32" w:type="dxa"/>
              <w:end w:w="62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172231"/>
                <w:sz w:val="14"/>
              </w:rPr>
              <w:t>Risk &amp; Trust | Owner/GM | Annual and at change</w:t>
            </w:r>
          </w:p>
        </w:tc>
        <w:tc>
          <w:tcPr>
            <w:tcW w:type="dxa" w:w="2550"/>
            <w:tcMar>
              <w:top w:w="32" w:type="dxa"/>
              <w:start w:w="62" w:type="dxa"/>
              <w:bottom w:w="32" w:type="dxa"/>
              <w:end w:w="62" w:type="dxa"/>
            </w:tcMar>
            <w:shd w:fill="F7F1E3"/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/>
                <w:i w:val="0"/>
                <w:color w:val="0B2545"/>
                <w:sz w:val="14"/>
              </w:rPr>
              <w:t>GRV-I30 | Annual Standards Renewal &amp; 180-Day Roadmap</w:t>
            </w:r>
          </w:p>
        </w:tc>
        <w:tc>
          <w:tcPr>
            <w:tcW w:type="dxa" w:w="2130"/>
            <w:tcMar>
              <w:top w:w="32" w:type="dxa"/>
              <w:start w:w="62" w:type="dxa"/>
              <w:bottom w:w="32" w:type="dxa"/>
              <w:end w:w="62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ptos" w:hAnsi="Aptos"/>
                <w:b w:val="0"/>
                <w:i w:val="0"/>
                <w:color w:val="172231"/>
                <w:sz w:val="14"/>
              </w:rPr>
              <w:t>Decision &amp; Renewal | Owner/GM | Annual with 180-day reset</w:t>
            </w:r>
          </w:p>
        </w:tc>
      </w:tr>
    </w:tbl>
    <w:p>
      <w:pPr>
        <w:widowControl w:val="1"/>
      </w:pPr>
      <w:r>
        <w:br w:type="page"/>
      </w:r>
    </w:p>
    <w:p>
      <w:pPr>
        <w:pStyle w:val="Heading1"/>
        <w:widowControl w:val="1"/>
        <w:keepNext w:val="1"/>
      </w:pPr>
      <w:r>
        <w:t>22. Official Source References</w:t>
      </w:r>
    </w:p>
    <w:p>
      <w:pPr>
        <w:spacing w:after="113"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The source register must be rechecked because editions, rules, guidance, pages, and effective dates change. Accessed August 10, 2026.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3550"/>
        <w:gridCol w:w="5810"/>
      </w:tblGrid>
      <w:tr>
        <w:trPr>
          <w:tblHeader w:val="true"/>
          <w:cantSplit/>
        </w:trPr>
        <w:tc>
          <w:tcPr>
            <w:tcW w:type="dxa" w:w="3550"/>
            <w:tcMar>
              <w:top w:w="80" w:type="dxa"/>
              <w:start w:w="120" w:type="dxa"/>
              <w:bottom w:w="80" w:type="dxa"/>
              <w:end w:w="120" w:type="dxa"/>
            </w:tcMar>
            <w:shd w:fill="0B2545"/>
          </w:tcPr>
          <w:p>
            <w:r>
              <w:rPr>
                <w:rFonts w:ascii="Aptos" w:hAnsi="Aptos"/>
                <w:b/>
                <w:i w:val="0"/>
                <w:color w:val="FFFFFF"/>
                <w:sz w:val="19"/>
              </w:rPr>
              <w:t>Reference</w:t>
            </w:r>
          </w:p>
        </w:tc>
        <w:tc>
          <w:tcPr>
            <w:tcW w:type="dxa" w:w="5810"/>
            <w:tcMar>
              <w:top w:w="80" w:type="dxa"/>
              <w:start w:w="120" w:type="dxa"/>
              <w:bottom w:w="80" w:type="dxa"/>
              <w:end w:w="120" w:type="dxa"/>
            </w:tcMar>
            <w:shd w:fill="0B2545"/>
          </w:tcPr>
          <w:p>
            <w:r>
              <w:rPr>
                <w:rFonts w:ascii="Aptos" w:hAnsi="Aptos"/>
                <w:b/>
                <w:i w:val="0"/>
                <w:color w:val="FFFFFF"/>
                <w:sz w:val="19"/>
              </w:rPr>
              <w:t>Official URL</w:t>
            </w:r>
          </w:p>
        </w:tc>
      </w:tr>
      <w:tr>
        <w:trPr>
          <w:cantSplit/>
        </w:trPr>
        <w:tc>
          <w:tcPr>
            <w:tcW w:type="dxa" w:w="355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FDA Food Code</w:t>
            </w:r>
          </w:p>
        </w:tc>
        <w:tc>
          <w:tcPr>
            <w:tcW w:type="dxa" w:w="58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hyperlink r:id="rId12">
              <w:r>
                <w:rPr>
                  <w:rFonts w:ascii="Aptos" w:hAnsi="Aptos"/>
                  <w:b w:val="0"/>
                  <w:i w:val="0"/>
                  <w:color w:val="0563C1"/>
                  <w:sz w:val="19"/>
                  <w:u w:val="single"/>
                </w:rPr>
                <w:t>https://www.fda.gov/food/fda-food-code</w:t>
              </w:r>
            </w:hyperlink>
          </w:p>
        </w:tc>
      </w:tr>
      <w:tr>
        <w:trPr>
          <w:cantSplit/>
        </w:trPr>
        <w:tc>
          <w:tcPr>
            <w:tcW w:type="dxa" w:w="355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FDA Food Code 2022 and Supplement</w:t>
            </w:r>
          </w:p>
        </w:tc>
        <w:tc>
          <w:tcPr>
            <w:tcW w:type="dxa" w:w="58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hyperlink r:id="rId13">
              <w:r>
                <w:rPr>
                  <w:rFonts w:ascii="Aptos" w:hAnsi="Aptos"/>
                  <w:b w:val="0"/>
                  <w:i w:val="0"/>
                  <w:color w:val="0563C1"/>
                  <w:sz w:val="19"/>
                  <w:u w:val="single"/>
                </w:rPr>
                <w:t>https://www.fda.gov/food/fda-food-code/food-code-2022</w:t>
              </w:r>
            </w:hyperlink>
          </w:p>
        </w:tc>
      </w:tr>
      <w:tr>
        <w:trPr>
          <w:cantSplit/>
        </w:trPr>
        <w:tc>
          <w:tcPr>
            <w:tcW w:type="dxa" w:w="355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FDA state retail food codes</w:t>
            </w:r>
          </w:p>
        </w:tc>
        <w:tc>
          <w:tcPr>
            <w:tcW w:type="dxa" w:w="58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hyperlink r:id="rId14">
              <w:r>
                <w:rPr>
                  <w:rFonts w:ascii="Aptos" w:hAnsi="Aptos"/>
                  <w:b w:val="0"/>
                  <w:i w:val="0"/>
                  <w:color w:val="0563C1"/>
                  <w:sz w:val="19"/>
                  <w:u w:val="single"/>
                </w:rPr>
                <w:t>https://www.fda.gov/food/fda-food-code/state-retail-and-food-service-codes-and-regulations-state</w:t>
              </w:r>
            </w:hyperlink>
          </w:p>
        </w:tc>
      </w:tr>
      <w:tr>
        <w:trPr>
          <w:cantSplit/>
        </w:trPr>
        <w:tc>
          <w:tcPr>
            <w:tcW w:type="dxa" w:w="355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U.S. DOL Restaurant Employment Toolkit</w:t>
            </w:r>
          </w:p>
        </w:tc>
        <w:tc>
          <w:tcPr>
            <w:tcW w:type="dxa" w:w="58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hyperlink r:id="rId15">
              <w:r>
                <w:rPr>
                  <w:rFonts w:ascii="Aptos" w:hAnsi="Aptos"/>
                  <w:b w:val="0"/>
                  <w:i w:val="0"/>
                  <w:color w:val="0563C1"/>
                  <w:sz w:val="19"/>
                  <w:u w:val="single"/>
                </w:rPr>
                <w:t>https://www.dol.gov/agencies/whd/compliance-assistance/toolkits/restaurant</w:t>
              </w:r>
            </w:hyperlink>
          </w:p>
        </w:tc>
      </w:tr>
      <w:tr>
        <w:trPr>
          <w:cantSplit/>
        </w:trPr>
        <w:tc>
          <w:tcPr>
            <w:tcW w:type="dxa" w:w="355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OSHA Restaurant Safety</w:t>
            </w:r>
          </w:p>
        </w:tc>
        <w:tc>
          <w:tcPr>
            <w:tcW w:type="dxa" w:w="58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hyperlink r:id="rId16">
              <w:r>
                <w:rPr>
                  <w:rFonts w:ascii="Aptos" w:hAnsi="Aptos"/>
                  <w:b w:val="0"/>
                  <w:i w:val="0"/>
                  <w:color w:val="0563C1"/>
                  <w:sz w:val="19"/>
                  <w:u w:val="single"/>
                </w:rPr>
                <w:t>https://www.osha.gov/young-workers-restaurant-safety</w:t>
              </w:r>
            </w:hyperlink>
          </w:p>
        </w:tc>
      </w:tr>
      <w:tr>
        <w:trPr>
          <w:cantSplit/>
        </w:trPr>
        <w:tc>
          <w:tcPr>
            <w:tcW w:type="dxa" w:w="355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EEOC Small Business</w:t>
            </w:r>
          </w:p>
        </w:tc>
        <w:tc>
          <w:tcPr>
            <w:tcW w:type="dxa" w:w="58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hyperlink r:id="rId17">
              <w:r>
                <w:rPr>
                  <w:rFonts w:ascii="Aptos" w:hAnsi="Aptos"/>
                  <w:b w:val="0"/>
                  <w:i w:val="0"/>
                  <w:color w:val="0563C1"/>
                  <w:sz w:val="19"/>
                  <w:u w:val="single"/>
                </w:rPr>
                <w:t>https://www.eeoc.gov/employers/small-business</w:t>
              </w:r>
            </w:hyperlink>
          </w:p>
        </w:tc>
      </w:tr>
      <w:tr>
        <w:trPr>
          <w:cantSplit/>
        </w:trPr>
        <w:tc>
          <w:tcPr>
            <w:tcW w:type="dxa" w:w="355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ADA Title III</w:t>
            </w:r>
          </w:p>
        </w:tc>
        <w:tc>
          <w:tcPr>
            <w:tcW w:type="dxa" w:w="58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hyperlink r:id="rId18">
              <w:r>
                <w:rPr>
                  <w:rFonts w:ascii="Aptos" w:hAnsi="Aptos"/>
                  <w:b w:val="0"/>
                  <w:i w:val="0"/>
                  <w:color w:val="0563C1"/>
                  <w:sz w:val="19"/>
                  <w:u w:val="single"/>
                </w:rPr>
                <w:t>https://www.ada.gov/topics/title-iii/</w:t>
              </w:r>
            </w:hyperlink>
          </w:p>
        </w:tc>
      </w:tr>
      <w:tr>
        <w:trPr>
          <w:cantSplit/>
        </w:trPr>
        <w:tc>
          <w:tcPr>
            <w:tcW w:type="dxa" w:w="355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ADA Web Accessibility Guidance</w:t>
            </w:r>
          </w:p>
        </w:tc>
        <w:tc>
          <w:tcPr>
            <w:tcW w:type="dxa" w:w="58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hyperlink r:id="rId19">
              <w:r>
                <w:rPr>
                  <w:rFonts w:ascii="Aptos" w:hAnsi="Aptos"/>
                  <w:b w:val="0"/>
                  <w:i w:val="0"/>
                  <w:color w:val="0563C1"/>
                  <w:sz w:val="19"/>
                  <w:u w:val="single"/>
                </w:rPr>
                <w:t>https://www.ada.gov/resources/web-guidance/</w:t>
              </w:r>
            </w:hyperlink>
          </w:p>
        </w:tc>
      </w:tr>
      <w:tr>
        <w:trPr>
          <w:cantSplit/>
        </w:trPr>
        <w:tc>
          <w:tcPr>
            <w:tcW w:type="dxa" w:w="355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FTC Business Guidance</w:t>
            </w:r>
          </w:p>
        </w:tc>
        <w:tc>
          <w:tcPr>
            <w:tcW w:type="dxa" w:w="58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hyperlink r:id="rId20">
              <w:r>
                <w:rPr>
                  <w:rFonts w:ascii="Aptos" w:hAnsi="Aptos"/>
                  <w:b w:val="0"/>
                  <w:i w:val="0"/>
                  <w:color w:val="0563C1"/>
                  <w:sz w:val="19"/>
                  <w:u w:val="single"/>
                </w:rPr>
                <w:t>https://www.ftc.gov/business-guidance</w:t>
              </w:r>
            </w:hyperlink>
          </w:p>
        </w:tc>
      </w:tr>
      <w:tr>
        <w:trPr>
          <w:cantSplit/>
        </w:trPr>
        <w:tc>
          <w:tcPr>
            <w:tcW w:type="dxa" w:w="355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FTC Reviews and Testimonials Rule Q&amp;A</w:t>
            </w:r>
          </w:p>
        </w:tc>
        <w:tc>
          <w:tcPr>
            <w:tcW w:type="dxa" w:w="58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hyperlink r:id="rId21">
              <w:r>
                <w:rPr>
                  <w:rFonts w:ascii="Aptos" w:hAnsi="Aptos"/>
                  <w:b w:val="0"/>
                  <w:i w:val="0"/>
                  <w:color w:val="0563C1"/>
                  <w:sz w:val="19"/>
                  <w:u w:val="single"/>
                </w:rPr>
                <w:t>https://www.ftc.gov/business-guidance/resources/consumer-reviews-testimonials-rule-questions-answers</w:t>
              </w:r>
            </w:hyperlink>
          </w:p>
        </w:tc>
      </w:tr>
      <w:tr>
        <w:trPr>
          <w:cantSplit/>
        </w:trPr>
        <w:tc>
          <w:tcPr>
            <w:tcW w:type="dxa" w:w="355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FCC Telemarketing</w:t>
            </w:r>
          </w:p>
        </w:tc>
        <w:tc>
          <w:tcPr>
            <w:tcW w:type="dxa" w:w="58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hyperlink r:id="rId22">
              <w:r>
                <w:rPr>
                  <w:rFonts w:ascii="Aptos" w:hAnsi="Aptos"/>
                  <w:b w:val="0"/>
                  <w:i w:val="0"/>
                  <w:color w:val="0563C1"/>
                  <w:sz w:val="19"/>
                  <w:u w:val="single"/>
                </w:rPr>
                <w:t>https://www.fcc.gov/general/telemarketing</w:t>
              </w:r>
            </w:hyperlink>
          </w:p>
        </w:tc>
      </w:tr>
      <w:tr>
        <w:trPr>
          <w:cantSplit/>
        </w:trPr>
        <w:tc>
          <w:tcPr>
            <w:tcW w:type="dxa" w:w="355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NIST Cybersecurity Framework 2.0</w:t>
            </w:r>
          </w:p>
        </w:tc>
        <w:tc>
          <w:tcPr>
            <w:tcW w:type="dxa" w:w="58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hyperlink r:id="rId23">
              <w:r>
                <w:rPr>
                  <w:rFonts w:ascii="Aptos" w:hAnsi="Aptos"/>
                  <w:b w:val="0"/>
                  <w:i w:val="0"/>
                  <w:color w:val="0563C1"/>
                  <w:sz w:val="19"/>
                  <w:u w:val="single"/>
                </w:rPr>
                <w:t>https://www.nist.gov/publications/nist-cybersecurity-framework-csf-20</w:t>
              </w:r>
            </w:hyperlink>
          </w:p>
        </w:tc>
      </w:tr>
      <w:tr>
        <w:trPr>
          <w:cantSplit/>
        </w:trPr>
        <w:tc>
          <w:tcPr>
            <w:tcW w:type="dxa" w:w="355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CISA Cybersecurity Performance Goals 2.0</w:t>
            </w:r>
          </w:p>
        </w:tc>
        <w:tc>
          <w:tcPr>
            <w:tcW w:type="dxa" w:w="58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hyperlink r:id="rId24">
              <w:r>
                <w:rPr>
                  <w:rFonts w:ascii="Aptos" w:hAnsi="Aptos"/>
                  <w:b w:val="0"/>
                  <w:i w:val="0"/>
                  <w:color w:val="0563C1"/>
                  <w:sz w:val="19"/>
                  <w:u w:val="single"/>
                </w:rPr>
                <w:t>https://www.cisa.gov/cybersecurity-performance-goals-2-0-cpg-2-0</w:t>
              </w:r>
            </w:hyperlink>
          </w:p>
        </w:tc>
      </w:tr>
      <w:tr>
        <w:trPr>
          <w:cantSplit/>
        </w:trPr>
        <w:tc>
          <w:tcPr>
            <w:tcW w:type="dxa" w:w="355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NIST Privacy Framework</w:t>
            </w:r>
          </w:p>
        </w:tc>
        <w:tc>
          <w:tcPr>
            <w:tcW w:type="dxa" w:w="58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hyperlink r:id="rId25">
              <w:r>
                <w:rPr>
                  <w:rFonts w:ascii="Aptos" w:hAnsi="Aptos"/>
                  <w:b w:val="0"/>
                  <w:i w:val="0"/>
                  <w:color w:val="0563C1"/>
                  <w:sz w:val="19"/>
                  <w:u w:val="single"/>
                </w:rPr>
                <w:t>https://www.nist.gov/privacy-framework</w:t>
              </w:r>
            </w:hyperlink>
          </w:p>
        </w:tc>
      </w:tr>
      <w:tr>
        <w:trPr>
          <w:cantSplit/>
        </w:trPr>
        <w:tc>
          <w:tcPr>
            <w:tcW w:type="dxa" w:w="355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NIST AI Resource Center</w:t>
            </w:r>
          </w:p>
        </w:tc>
        <w:tc>
          <w:tcPr>
            <w:tcW w:type="dxa" w:w="58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hyperlink r:id="rId26">
              <w:r>
                <w:rPr>
                  <w:rFonts w:ascii="Aptos" w:hAnsi="Aptos"/>
                  <w:b w:val="0"/>
                  <w:i w:val="0"/>
                  <w:color w:val="0563C1"/>
                  <w:sz w:val="19"/>
                  <w:u w:val="single"/>
                </w:rPr>
                <w:t>https://airc.nist.gov/</w:t>
              </w:r>
            </w:hyperlink>
          </w:p>
        </w:tc>
      </w:tr>
      <w:tr>
        <w:trPr>
          <w:cantSplit/>
        </w:trPr>
        <w:tc>
          <w:tcPr>
            <w:tcW w:type="dxa" w:w="355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PCI Security Standards Document Library</w:t>
            </w:r>
          </w:p>
        </w:tc>
        <w:tc>
          <w:tcPr>
            <w:tcW w:type="dxa" w:w="58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hyperlink r:id="rId27">
              <w:r>
                <w:rPr>
                  <w:rFonts w:ascii="Aptos" w:hAnsi="Aptos"/>
                  <w:b w:val="0"/>
                  <w:i w:val="0"/>
                  <w:color w:val="0563C1"/>
                  <w:sz w:val="19"/>
                  <w:u w:val="single"/>
                </w:rPr>
                <w:t>https://www.pcisecuritystandards.org/document_library/</w:t>
              </w:r>
            </w:hyperlink>
          </w:p>
        </w:tc>
      </w:tr>
      <w:tr>
        <w:trPr>
          <w:cantSplit/>
        </w:trPr>
        <w:tc>
          <w:tcPr>
            <w:tcW w:type="dxa" w:w="355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National Restaurant Association 2026 State of the Industry</w:t>
            </w:r>
          </w:p>
        </w:tc>
        <w:tc>
          <w:tcPr>
            <w:tcW w:type="dxa" w:w="58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hyperlink r:id="rId28">
              <w:r>
                <w:rPr>
                  <w:rFonts w:ascii="Aptos" w:hAnsi="Aptos"/>
                  <w:b w:val="0"/>
                  <w:i w:val="0"/>
                  <w:color w:val="0563C1"/>
                  <w:sz w:val="19"/>
                  <w:u w:val="single"/>
                </w:rPr>
                <w:t>https://restaurant.org/research-and-media/research/research-reports/state-of-the-industry/</w:t>
              </w:r>
            </w:hyperlink>
          </w:p>
        </w:tc>
      </w:tr>
      <w:tr>
        <w:trPr>
          <w:cantSplit/>
        </w:trPr>
        <w:tc>
          <w:tcPr>
            <w:tcW w:type="dxa" w:w="355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National Restaurant Association Technology Landscape</w:t>
            </w:r>
          </w:p>
        </w:tc>
        <w:tc>
          <w:tcPr>
            <w:tcW w:type="dxa" w:w="58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hyperlink r:id="rId29">
              <w:r>
                <w:rPr>
                  <w:rFonts w:ascii="Aptos" w:hAnsi="Aptos"/>
                  <w:b w:val="0"/>
                  <w:i w:val="0"/>
                  <w:color w:val="0563C1"/>
                  <w:sz w:val="19"/>
                  <w:u w:val="single"/>
                </w:rPr>
                <w:t>https://restaurant.org/research-and-media/research/research-reports/2024-technology-landscape-report/</w:t>
              </w:r>
            </w:hyperlink>
          </w:p>
        </w:tc>
      </w:tr>
      <w:tr>
        <w:trPr>
          <w:cantSplit/>
        </w:trPr>
        <w:tc>
          <w:tcPr>
            <w:tcW w:type="dxa" w:w="355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U.S. Bureau of Labor Statistics CPI</w:t>
            </w:r>
          </w:p>
        </w:tc>
        <w:tc>
          <w:tcPr>
            <w:tcW w:type="dxa" w:w="58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hyperlink r:id="rId30">
              <w:r>
                <w:rPr>
                  <w:rFonts w:ascii="Aptos" w:hAnsi="Aptos"/>
                  <w:b w:val="0"/>
                  <w:i w:val="0"/>
                  <w:color w:val="0563C1"/>
                  <w:sz w:val="19"/>
                  <w:u w:val="single"/>
                </w:rPr>
                <w:t>https://www.bls.gov/cpi/</w:t>
              </w:r>
            </w:hyperlink>
          </w:p>
        </w:tc>
      </w:tr>
    </w:tbl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rPr>
          <w:cantSplit/>
        </w:trPr>
        <w:tc>
          <w:tcPr>
            <w:tcW w:type="dxa" w:w="936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9B7428"/>
                <w:sz w:val="19"/>
              </w:rPr>
              <w:t xml:space="preserve">FINAL OPERATING STANDARD  </w:t>
            </w:r>
            <w:r>
              <w:rPr>
                <w:rFonts w:ascii="Aptos" w:hAnsi="Aptos"/>
                <w:b/>
                <w:i w:val="0"/>
                <w:color w:val="0B2545"/>
                <w:sz w:val="21"/>
              </w:rPr>
              <w:t>Trust the best available source, disclose uncertainty, control every change, verify the installed result, and schedule the next review before the standard becomes stale.</w:t>
            </w:r>
          </w:p>
        </w:tc>
      </w:tr>
    </w:tbl>
    <w:p>
      <w:pPr>
        <w:spacing w:after="0" w:before="0" w:line="20" w:lineRule="exact"/>
        <w:widowControl w:val="1"/>
      </w:pPr>
    </w:p>
    <w:p>
      <w:r>
        <w:br w:type="page"/>
      </w:r>
    </w:p>
    <w:p>
      <w:bookmarkStart w:id="9000" w:name="GRAVITY_GLOSSARY"/>
      <w:pPr>
        <w:pStyle w:val="Heading1"/>
      </w:pPr>
      <w:r>
        <w:t>Linked Glossary</w:t>
      </w:r>
      <w:bookmarkEnd w:id="9000"/>
    </w:p>
    <w:p>
      <w:r>
        <w:t>Select linked terms in the digital manual to move to their definitions. Definitions describe how the Gravity System uses each term; they do not replace qualified legal, regulatory, financial, safety, employment, or professional interpretation.</w:t>
      </w:r>
    </w:p>
    <w:p>
      <w:bookmarkStart w:id="9100" w:name="GLOSS_001"/>
      <w:pPr>
        <w:pStyle w:val="Heading2"/>
      </w:pPr>
      <w:bookmarkEnd w:id="9100"/>
      <w:r>
        <w:rPr>
          <w:b/>
        </w:rPr>
        <w:t>Accountable owner (GLOSS-001)</w:t>
      </w:r>
    </w:p>
    <w:p>
      <w:r>
        <w:t>The person ultimately responsible for ensuring that a required result is achieved. Work may be assigned to others, but accountability remains with this person.</w:t>
      </w:r>
    </w:p>
    <w:p>
      <w:bookmarkStart w:id="9101" w:name="GLOSS_002"/>
      <w:pPr>
        <w:pStyle w:val="Heading2"/>
      </w:pPr>
      <w:bookmarkEnd w:id="9101"/>
      <w:r>
        <w:rPr>
          <w:b/>
        </w:rPr>
        <w:t>Action owner (GLOSS-002)</w:t>
      </w:r>
    </w:p>
    <w:p>
      <w:r>
        <w:t>The person assigned to complete a specific action, provide the required evidence, and report its status by the due date.</w:t>
      </w:r>
    </w:p>
    <w:p>
      <w:bookmarkStart w:id="9102" w:name="GLOSS_003"/>
      <w:pPr>
        <w:pStyle w:val="Heading2"/>
      </w:pPr>
      <w:bookmarkEnd w:id="9102"/>
      <w:r>
        <w:rPr>
          <w:b/>
        </w:rPr>
        <w:t>Adoption (GLOSS-003)</w:t>
      </w:r>
    </w:p>
    <w:p>
      <w:r>
        <w:t>Consistent use of an approved standard, process, or tool by the people and locations expected to use it.</w:t>
      </w:r>
    </w:p>
    <w:p>
      <w:bookmarkStart w:id="9103" w:name="GLOSS_005"/>
      <w:pPr>
        <w:pStyle w:val="Heading2"/>
      </w:pPr>
      <w:bookmarkEnd w:id="9103"/>
      <w:r>
        <w:rPr>
          <w:b/>
        </w:rPr>
        <w:t>Approval (GLOSS-005)</w:t>
      </w:r>
    </w:p>
    <w:p>
      <w:r>
        <w:t>A documented decision by a person with the authority to accept, reject, release, or change a defined item.</w:t>
      </w:r>
    </w:p>
    <w:p>
      <w:bookmarkStart w:id="9104" w:name="GLOSS_006"/>
      <w:pPr>
        <w:pStyle w:val="Heading2"/>
      </w:pPr>
      <w:bookmarkEnd w:id="9104"/>
      <w:r>
        <w:rPr>
          <w:b/>
        </w:rPr>
        <w:t>Approved version (GLOSS-006)</w:t>
      </w:r>
    </w:p>
    <w:p>
      <w:r>
        <w:t>The currently authorized form, standard, process, workbook, or document identified through version control.</w:t>
      </w:r>
    </w:p>
    <w:p>
      <w:bookmarkStart w:id="9105" w:name="GLOSS_007"/>
      <w:pPr>
        <w:pStyle w:val="Heading2"/>
      </w:pPr>
      <w:bookmarkEnd w:id="9105"/>
      <w:r>
        <w:rPr>
          <w:b/>
        </w:rPr>
        <w:t>Archive (GLOSS-007)</w:t>
      </w:r>
    </w:p>
    <w:p>
      <w:r>
        <w:t>A protected location for superseded or inactive records that must be retained but must not be mistaken for the current version.</w:t>
      </w:r>
    </w:p>
    <w:p>
      <w:bookmarkStart w:id="9106" w:name="GLOSS_008"/>
      <w:pPr>
        <w:pStyle w:val="Heading2"/>
      </w:pPr>
      <w:bookmarkEnd w:id="9106"/>
      <w:r>
        <w:rPr>
          <w:b/>
        </w:rPr>
        <w:t>Audit pass rate (GLOSS-008)</w:t>
      </w:r>
    </w:p>
    <w:p>
      <w:r>
        <w:t>Passed audit records divided by all populated audit records.</w:t>
      </w:r>
    </w:p>
    <w:p>
      <w:pPr>
        <w:spacing w:after="160"/>
      </w:pPr>
      <w:r>
        <w:rPr>
          <w:b/>
        </w:rPr>
        <w:t xml:space="preserve">Used primarily in: </w:t>
      </w:r>
      <w:r>
        <w:t>Standards &amp; Intelligence Center</w:t>
      </w:r>
    </w:p>
    <w:p>
      <w:bookmarkStart w:id="9107" w:name="GLOSS_009"/>
      <w:pPr>
        <w:pStyle w:val="Heading2"/>
      </w:pPr>
      <w:bookmarkEnd w:id="9107"/>
      <w:r>
        <w:rPr>
          <w:b/>
        </w:rPr>
        <w:t>Authority (GLOSS-009)</w:t>
      </w:r>
    </w:p>
    <w:p>
      <w:r>
        <w:t>The legitimate right to make, approve, stop, escalate, or change a decision within defined limits.</w:t>
      </w:r>
    </w:p>
    <w:p>
      <w:bookmarkStart w:id="9108" w:name="GLOSS_010"/>
      <w:pPr>
        <w:pStyle w:val="Heading2"/>
      </w:pPr>
      <w:bookmarkEnd w:id="9108"/>
      <w:r>
        <w:rPr>
          <w:b/>
        </w:rPr>
        <w:t>Authority hierarchy (GLOSS-010)</w:t>
      </w:r>
    </w:p>
    <w:p>
      <w:r>
        <w:t>Applicable law/regulation; code or regulator guidance; contract/platform rule; industry standard; Gravity standard; approved local practice.</w:t>
      </w:r>
    </w:p>
    <w:p>
      <w:pPr>
        <w:spacing w:after="160"/>
      </w:pPr>
      <w:r>
        <w:rPr>
          <w:b/>
        </w:rPr>
        <w:t xml:space="preserve">Used primarily in: </w:t>
      </w:r>
      <w:r>
        <w:t>Standards &amp; Intelligence Center</w:t>
      </w:r>
    </w:p>
    <w:p>
      <w:bookmarkStart w:id="9109" w:name="GLOSS_012"/>
      <w:pPr>
        <w:pStyle w:val="Heading2"/>
      </w:pPr>
      <w:bookmarkEnd w:id="9109"/>
      <w:r>
        <w:rPr>
          <w:b/>
        </w:rPr>
        <w:t>Baseline (GLOSS-012)</w:t>
      </w:r>
    </w:p>
    <w:p>
      <w:r>
        <w:t>The documented starting condition used to compare later performance, adoption, risk, or results.</w:t>
      </w:r>
    </w:p>
    <w:p>
      <w:bookmarkStart w:id="9110" w:name="GLOSS_014"/>
      <w:pPr>
        <w:pStyle w:val="Heading2"/>
      </w:pPr>
      <w:bookmarkEnd w:id="9110"/>
      <w:r>
        <w:rPr>
          <w:b/>
        </w:rPr>
        <w:t>Benchmark (GLOSS-014)</w:t>
      </w:r>
    </w:p>
    <w:p>
      <w:r>
        <w:t>A comparison point used to understand performance; it is not automatically a required target or an applicable standard.</w:t>
      </w:r>
    </w:p>
    <w:p>
      <w:bookmarkStart w:id="9111" w:name="GLOSS_016"/>
      <w:pPr>
        <w:pStyle w:val="Heading2"/>
      </w:pPr>
      <w:bookmarkEnd w:id="9111"/>
      <w:r>
        <w:rPr>
          <w:b/>
        </w:rPr>
        <w:t>Business continuity (GLOSS-016)</w:t>
      </w:r>
    </w:p>
    <w:p>
      <w:r>
        <w:t>The planned ability to continue or restore critical restaurant operations during and after a disruption.</w:t>
      </w:r>
    </w:p>
    <w:p>
      <w:bookmarkStart w:id="9112" w:name="GLOSS_018"/>
      <w:pPr>
        <w:pStyle w:val="Heading2"/>
      </w:pPr>
      <w:bookmarkEnd w:id="9112"/>
      <w:r>
        <w:rPr>
          <w:b/>
        </w:rPr>
        <w:t>Closeout (GLOSS-018)</w:t>
      </w:r>
    </w:p>
    <w:p>
      <w:r>
        <w:t>The documented decision that an action, issue, incident, or implementation is complete, including evidence, verification, date, and remaining follow-up.</w:t>
      </w:r>
    </w:p>
    <w:p>
      <w:bookmarkStart w:id="9113" w:name="GLOSS_020"/>
      <w:pPr>
        <w:pStyle w:val="Heading2"/>
      </w:pPr>
      <w:bookmarkEnd w:id="9113"/>
      <w:r>
        <w:rPr>
          <w:b/>
        </w:rPr>
        <w:t>Competency (GLOSS-020)</w:t>
      </w:r>
    </w:p>
    <w:p>
      <w:r>
        <w:t>Demonstrated ability to perform a defined task or make a defined decision to the required standard under appropriate conditions.</w:t>
      </w:r>
    </w:p>
    <w:p>
      <w:bookmarkStart w:id="9114" w:name="GLOSS_022"/>
      <w:pPr>
        <w:pStyle w:val="Heading2"/>
      </w:pPr>
      <w:bookmarkEnd w:id="9114"/>
      <w:r>
        <w:rPr>
          <w:b/>
        </w:rPr>
        <w:t>Control (GLOSS-022)</w:t>
      </w:r>
    </w:p>
    <w:p>
      <w:r>
        <w:t>A designed action, rule, approval, check, restriction, or record intended to prevent, detect, correct, or contain an unacceptable result.</w:t>
      </w:r>
    </w:p>
    <w:p>
      <w:bookmarkStart w:id="9115" w:name="GLOSS_025"/>
      <w:pPr>
        <w:pStyle w:val="Heading2"/>
      </w:pPr>
      <w:bookmarkEnd w:id="9115"/>
      <w:r>
        <w:rPr>
          <w:b/>
        </w:rPr>
        <w:t>Controlled change (GLOSS-025)</w:t>
      </w:r>
    </w:p>
    <w:p>
      <w:r>
        <w:t>Approved change with impact review, test, training, rollout, rollback, evidence, and verification.</w:t>
      </w:r>
    </w:p>
    <w:p>
      <w:pPr>
        <w:spacing w:after="160"/>
      </w:pPr>
      <w:r>
        <w:rPr>
          <w:b/>
        </w:rPr>
        <w:t xml:space="preserve">Used primarily in: </w:t>
      </w:r>
      <w:r>
        <w:t>Standards &amp; Intelligence Center</w:t>
      </w:r>
    </w:p>
    <w:p>
      <w:bookmarkStart w:id="9116" w:name="GLOSS_026"/>
      <w:pPr>
        <w:pStyle w:val="Heading2"/>
      </w:pPr>
      <w:bookmarkEnd w:id="9116"/>
      <w:r>
        <w:rPr>
          <w:b/>
        </w:rPr>
        <w:t>Corrective action (GLOSS-026)</w:t>
      </w:r>
    </w:p>
    <w:p>
      <w:r>
        <w:t>A documented response intended to eliminate, reduce, or control the cause of a confirmed problem, with an owner, due date, evidence, and effectiveness review.</w:t>
      </w:r>
    </w:p>
    <w:p>
      <w:bookmarkStart w:id="9117" w:name="GLOSS_028"/>
      <w:pPr>
        <w:pStyle w:val="Heading2"/>
      </w:pPr>
      <w:bookmarkEnd w:id="9117"/>
      <w:r>
        <w:rPr>
          <w:b/>
        </w:rPr>
        <w:t>Current source (GLOSS-028)</w:t>
      </w:r>
    </w:p>
    <w:p>
      <w:r>
        <w:t>Source record has an owner, current-as-of date, review cadence, next review, and accessible evidence.</w:t>
      </w:r>
    </w:p>
    <w:p>
      <w:pPr>
        <w:spacing w:after="160"/>
      </w:pPr>
      <w:r>
        <w:rPr>
          <w:b/>
        </w:rPr>
        <w:t xml:space="preserve">Used primarily in: </w:t>
      </w:r>
      <w:r>
        <w:t>Standards &amp; Intelligence Center</w:t>
      </w:r>
    </w:p>
    <w:p>
      <w:bookmarkStart w:id="9118" w:name="GLOSS_029"/>
      <w:pPr>
        <w:pStyle w:val="Heading2"/>
      </w:pPr>
      <w:bookmarkEnd w:id="9118"/>
      <w:r>
        <w:rPr>
          <w:b/>
        </w:rPr>
        <w:t>Decision rights (GLOSS-029)</w:t>
      </w:r>
    </w:p>
    <w:p>
      <w:r>
        <w:t>The defined boundaries identifying who may decide, approve, recommend, perform, stop, or escalate a matter.</w:t>
      </w:r>
    </w:p>
    <w:p>
      <w:bookmarkStart w:id="9119" w:name="GLOSS_031"/>
      <w:pPr>
        <w:pStyle w:val="Heading2"/>
      </w:pPr>
      <w:bookmarkEnd w:id="9119"/>
      <w:r>
        <w:rPr>
          <w:b/>
        </w:rPr>
        <w:t>Dependency (GLOSS-031)</w:t>
      </w:r>
    </w:p>
    <w:p>
      <w:r>
        <w:t>A person, supplier, utility, system, facility, record, or resource required for an activity to operate successfully.</w:t>
      </w:r>
    </w:p>
    <w:p>
      <w:bookmarkStart w:id="9120" w:name="GLOSS_033"/>
      <w:pPr>
        <w:pStyle w:val="Heading2"/>
      </w:pPr>
      <w:bookmarkEnd w:id="9120"/>
      <w:r>
        <w:rPr>
          <w:b/>
        </w:rPr>
        <w:t>Due date (GLOSS-033)</w:t>
      </w:r>
    </w:p>
    <w:p>
      <w:r>
        <w:t>The approved date by which an assigned action or decision must be completed or escalated.</w:t>
      </w:r>
    </w:p>
    <w:p>
      <w:bookmarkStart w:id="9121" w:name="GLOSS_034"/>
      <w:pPr>
        <w:pStyle w:val="Heading2"/>
      </w:pPr>
      <w:bookmarkEnd w:id="9121"/>
      <w:r>
        <w:rPr>
          <w:b/>
        </w:rPr>
        <w:t>Escalation (GLOSS-034)</w:t>
      </w:r>
    </w:p>
    <w:p>
      <w:r>
        <w:t>A controlled transfer of a decision or issue to a person with greater authority, expertise, or responsibility because a threshold, deadline, risk, or boundary has been reached.</w:t>
      </w:r>
    </w:p>
    <w:p>
      <w:bookmarkStart w:id="9122" w:name="GLOSS_036"/>
      <w:pPr>
        <w:pStyle w:val="Heading2"/>
      </w:pPr>
      <w:bookmarkEnd w:id="9122"/>
      <w:r>
        <w:rPr>
          <w:b/>
        </w:rPr>
        <w:t>Evidence (GLOSS-036)</w:t>
      </w:r>
    </w:p>
    <w:p>
      <w:r>
        <w:t>Reliable information showing what occurred, what was decided, whether a requirement was met, or whether a result was achieved.</w:t>
      </w:r>
    </w:p>
    <w:p>
      <w:bookmarkStart w:id="9123" w:name="GLOSS_037"/>
      <w:pPr>
        <w:pStyle w:val="Heading2"/>
      </w:pPr>
      <w:bookmarkEnd w:id="9123"/>
      <w:r>
        <w:rPr>
          <w:b/>
        </w:rPr>
        <w:t>Evidence currency (GLOSS-037)</w:t>
      </w:r>
    </w:p>
    <w:p>
      <w:r>
        <w:t>Current when a location exists and the valid-until date is today or later.</w:t>
      </w:r>
    </w:p>
    <w:p>
      <w:pPr>
        <w:spacing w:after="160"/>
      </w:pPr>
      <w:r>
        <w:rPr>
          <w:b/>
        </w:rPr>
        <w:t xml:space="preserve">Used primarily in: </w:t>
      </w:r>
      <w:r>
        <w:t>Standards &amp; Intelligence Center</w:t>
      </w:r>
    </w:p>
    <w:p>
      <w:bookmarkStart w:id="9124" w:name="GLOSS_038"/>
      <w:pPr>
        <w:pStyle w:val="Heading2"/>
      </w:pPr>
      <w:bookmarkEnd w:id="9124"/>
      <w:r>
        <w:rPr>
          <w:b/>
        </w:rPr>
        <w:t>Exception (GLOSS-038)</w:t>
      </w:r>
    </w:p>
    <w:p>
      <w:r>
        <w:t>An approved, limited, and time-bound departure from a standard, supported by authority, rationale, compensating controls, and review.</w:t>
      </w:r>
    </w:p>
    <w:p>
      <w:bookmarkStart w:id="9125" w:name="GLOSS_043"/>
      <w:pPr>
        <w:pStyle w:val="Heading2"/>
      </w:pPr>
      <w:bookmarkEnd w:id="9125"/>
      <w:r>
        <w:rPr>
          <w:b/>
        </w:rPr>
        <w:t>Frequency (GLOSS-043)</w:t>
      </w:r>
    </w:p>
    <w:p>
      <w:r>
        <w:t>The required completion rhythm for a control or tool, such as per event, daily, weekly, monthly, quarterly, annually, or when a defined change occurs.</w:t>
      </w:r>
    </w:p>
    <w:p>
      <w:bookmarkStart w:id="9126" w:name="GLOSS_045"/>
      <w:pPr>
        <w:pStyle w:val="Heading2"/>
      </w:pPr>
      <w:bookmarkEnd w:id="9126"/>
      <w:r>
        <w:rPr>
          <w:b/>
        </w:rPr>
        <w:t>Gravity standard (GLOSS-045)</w:t>
      </w:r>
    </w:p>
    <w:p>
      <w:r>
        <w:t>An approved Gravity requirement or operating expectation that remains subordinate to applicable law, regulation, official authority, contract, and platform rules.</w:t>
      </w:r>
    </w:p>
    <w:p>
      <w:bookmarkStart w:id="9127" w:name="GLOSS_047"/>
      <w:pPr>
        <w:pStyle w:val="Heading2"/>
      </w:pPr>
      <w:bookmarkEnd w:id="9127"/>
      <w:r>
        <w:rPr>
          <w:b/>
        </w:rPr>
        <w:t>Implementation (GLOSS-047)</w:t>
      </w:r>
    </w:p>
    <w:p>
      <w:r>
        <w:t>The controlled process of turning an approved goal or standard into configured tools, trained behavior, operating practice, evidence, verification, and sustainment.</w:t>
      </w:r>
    </w:p>
    <w:p>
      <w:bookmarkStart w:id="9128" w:name="GLOSS_048"/>
      <w:pPr>
        <w:pStyle w:val="Heading2"/>
      </w:pPr>
      <w:bookmarkEnd w:id="9128"/>
      <w:r>
        <w:rPr>
          <w:b/>
        </w:rPr>
        <w:t>Incident (GLOSS-048)</w:t>
      </w:r>
    </w:p>
    <w:p>
      <w:r>
        <w:t>An event or condition that causes or could cause harm, disruption, loss, control failure, or an unacceptable operating result.</w:t>
      </w:r>
    </w:p>
    <w:p>
      <w:bookmarkStart w:id="9129" w:name="GLOSS_057"/>
      <w:pPr>
        <w:pStyle w:val="Heading2"/>
      </w:pPr>
      <w:bookmarkEnd w:id="9129"/>
      <w:r>
        <w:rPr>
          <w:b/>
        </w:rPr>
        <w:t>Material change (GLOSS-057)</w:t>
      </w:r>
    </w:p>
    <w:p>
      <w:r>
        <w:t>A change significant enough to affect authority, risk, results, people, guests, systems, records, training, contracts, or operating controls.</w:t>
      </w:r>
    </w:p>
    <w:p>
      <w:bookmarkStart w:id="9130" w:name="GLOSS_058"/>
      <w:pPr>
        <w:pStyle w:val="Heading2"/>
      </w:pPr>
      <w:bookmarkEnd w:id="9130"/>
      <w:r>
        <w:rPr>
          <w:b/>
        </w:rPr>
        <w:t>Maturity score (GLOSS-058)</w:t>
      </w:r>
    </w:p>
    <w:p>
      <w:r>
        <w:t>Average of governance, currency, evidence, adoption, risk control, and closure scores, 0 to 5.</w:t>
      </w:r>
    </w:p>
    <w:p>
      <w:pPr>
        <w:spacing w:after="160"/>
      </w:pPr>
      <w:r>
        <w:rPr>
          <w:b/>
        </w:rPr>
        <w:t xml:space="preserve">Used primarily in: </w:t>
      </w:r>
      <w:r>
        <w:t>Standards &amp; Intelligence Center</w:t>
      </w:r>
    </w:p>
    <w:p>
      <w:bookmarkStart w:id="9131" w:name="GLOSS_072"/>
      <w:pPr>
        <w:pStyle w:val="Heading2"/>
      </w:pPr>
      <w:bookmarkEnd w:id="9131"/>
      <w:r>
        <w:rPr>
          <w:b/>
        </w:rPr>
        <w:t>Pilot (GLOSS-072)</w:t>
      </w:r>
    </w:p>
    <w:p>
      <w:r>
        <w:t>A limited, controlled test used to identify defects, resource needs, training gaps, and evidence before wider rollout.</w:t>
      </w:r>
    </w:p>
    <w:p>
      <w:bookmarkStart w:id="9132" w:name="GLOSS_075"/>
      <w:pPr>
        <w:pStyle w:val="Heading2"/>
      </w:pPr>
      <w:bookmarkEnd w:id="9132"/>
      <w:r>
        <w:rPr>
          <w:b/>
        </w:rPr>
        <w:t>Qualified review (GLOSS-075)</w:t>
      </w:r>
    </w:p>
    <w:p>
      <w:r>
        <w:t>Review by a person with the required professional knowledge, organizational authority, license, certification, or subject-matter responsibility.</w:t>
      </w:r>
    </w:p>
    <w:p>
      <w:bookmarkStart w:id="9133" w:name="GLOSS_080"/>
      <w:pPr>
        <w:pStyle w:val="Heading2"/>
      </w:pPr>
      <w:bookmarkEnd w:id="9133"/>
      <w:r>
        <w:rPr>
          <w:b/>
        </w:rPr>
        <w:t>Record (GLOSS-080)</w:t>
      </w:r>
    </w:p>
    <w:p>
      <w:r>
        <w:t>Retained information documenting an input, action, decision, approval, exception, result, or verification.</w:t>
      </w:r>
    </w:p>
    <w:p>
      <w:bookmarkStart w:id="9134" w:name="GLOSS_081"/>
      <w:pPr>
        <w:pStyle w:val="Heading2"/>
      </w:pPr>
      <w:bookmarkEnd w:id="9134"/>
      <w:r>
        <w:rPr>
          <w:b/>
        </w:rPr>
        <w:t>Recovery (GLOSS-081)</w:t>
      </w:r>
    </w:p>
    <w:p>
      <w:r>
        <w:t>The controlled restoration of operations, technology, records, facilities, finances, staffing, or other capabilities after disruption.</w:t>
      </w:r>
    </w:p>
    <w:p>
      <w:bookmarkStart w:id="9135" w:name="GLOSS_086"/>
      <w:pPr>
        <w:pStyle w:val="Heading2"/>
      </w:pPr>
      <w:bookmarkEnd w:id="9135"/>
      <w:r>
        <w:rPr>
          <w:b/>
        </w:rPr>
        <w:t>Review cadence (GLOSS-086)</w:t>
      </w:r>
    </w:p>
    <w:p>
      <w:r>
        <w:t>The approved schedule for examining a record, source, control, result, or standard and deciding whether action is required.</w:t>
      </w:r>
    </w:p>
    <w:p>
      <w:bookmarkStart w:id="9136" w:name="GLOSS_088"/>
      <w:pPr>
        <w:pStyle w:val="Heading2"/>
      </w:pPr>
      <w:bookmarkEnd w:id="9136"/>
      <w:r>
        <w:rPr>
          <w:b/>
        </w:rPr>
        <w:t>Risk level (GLOSS-088)</w:t>
      </w:r>
    </w:p>
    <w:p>
      <w:r>
        <w:t>Qualitative combination of impact and likelihood used for triage.</w:t>
      </w:r>
    </w:p>
    <w:p>
      <w:pPr>
        <w:spacing w:after="160"/>
      </w:pPr>
      <w:r>
        <w:rPr>
          <w:b/>
        </w:rPr>
        <w:t xml:space="preserve">Used primarily in: </w:t>
      </w:r>
      <w:r>
        <w:t>Standards &amp; Intelligence Center</w:t>
      </w:r>
    </w:p>
    <w:p>
      <w:bookmarkStart w:id="9137" w:name="GLOSS_092"/>
      <w:pPr>
        <w:pStyle w:val="Heading2"/>
      </w:pPr>
      <w:bookmarkEnd w:id="9137"/>
      <w:r>
        <w:rPr>
          <w:b/>
        </w:rPr>
        <w:t>Scope (GLOSS-092)</w:t>
      </w:r>
    </w:p>
    <w:p>
      <w:r>
        <w:t>The defined locations, roles, activities, records, time period, systems, and exclusions covered by a decision or implementation.</w:t>
      </w:r>
    </w:p>
    <w:p>
      <w:bookmarkStart w:id="9138" w:name="GLOSS_093"/>
      <w:pPr>
        <w:pStyle w:val="Heading2"/>
      </w:pPr>
      <w:bookmarkEnd w:id="9138"/>
      <w:r>
        <w:rPr>
          <w:b/>
        </w:rPr>
        <w:t>Signal (GLOSS-093)</w:t>
      </w:r>
    </w:p>
    <w:p>
      <w:r>
        <w:t>Observed external or internal change that may require a decision.</w:t>
      </w:r>
    </w:p>
    <w:p>
      <w:pPr>
        <w:spacing w:after="160"/>
      </w:pPr>
      <w:r>
        <w:rPr>
          <w:b/>
        </w:rPr>
        <w:t xml:space="preserve">Used primarily in: </w:t>
      </w:r>
      <w:r>
        <w:t>Standards &amp; Intelligence Center</w:t>
      </w:r>
    </w:p>
    <w:p>
      <w:bookmarkStart w:id="9139" w:name="GLOSS_095"/>
      <w:pPr>
        <w:pStyle w:val="Heading2"/>
      </w:pPr>
      <w:bookmarkEnd w:id="9139"/>
      <w:r>
        <w:rPr>
          <w:b/>
        </w:rPr>
        <w:t>Standard (GLOSS-095)</w:t>
      </w:r>
    </w:p>
    <w:p>
      <w:r>
        <w:t>An approved requirement or expectation used to guide work and evaluate conformance.</w:t>
      </w:r>
    </w:p>
    <w:p>
      <w:bookmarkStart w:id="9140" w:name="GLOSS_096"/>
      <w:pPr>
        <w:pStyle w:val="Heading2"/>
      </w:pPr>
      <w:bookmarkEnd w:id="9140"/>
      <w:r>
        <w:rPr>
          <w:b/>
        </w:rPr>
        <w:t>System health score (GLOSS-096)</w:t>
      </w:r>
    </w:p>
    <w:p>
      <w:r>
        <w:t>Average of standard, evidence, and adoption scores for a dimension, 0 to 5.</w:t>
      </w:r>
    </w:p>
    <w:p>
      <w:pPr>
        <w:spacing w:after="160"/>
      </w:pPr>
      <w:r>
        <w:rPr>
          <w:b/>
        </w:rPr>
        <w:t xml:space="preserve">Used primarily in: </w:t>
      </w:r>
      <w:r>
        <w:t>Standards &amp; Intelligence Center</w:t>
      </w:r>
    </w:p>
    <w:p>
      <w:bookmarkStart w:id="9141" w:name="GLOSS_097"/>
      <w:pPr>
        <w:pStyle w:val="Heading2"/>
      </w:pPr>
      <w:bookmarkEnd w:id="9141"/>
      <w:r>
        <w:rPr>
          <w:b/>
        </w:rPr>
        <w:t>System owner (GLOSS-097)</w:t>
      </w:r>
    </w:p>
    <w:p>
      <w:r>
        <w:t>The person accountable for the integrity, current version, controls, evidence, performance, and renewal of a defined system.</w:t>
      </w:r>
    </w:p>
    <w:p>
      <w:bookmarkStart w:id="9142" w:name="GLOSS_099"/>
      <w:pPr>
        <w:pStyle w:val="Heading2"/>
      </w:pPr>
      <w:bookmarkEnd w:id="9142"/>
      <w:r>
        <w:rPr>
          <w:b/>
        </w:rPr>
        <w:t>Training currency (GLOSS-099)</w:t>
      </w:r>
    </w:p>
    <w:p>
      <w:r>
        <w:t>Current training rows divided by all populated training rows.</w:t>
      </w:r>
    </w:p>
    <w:p>
      <w:pPr>
        <w:spacing w:after="160"/>
      </w:pPr>
      <w:r>
        <w:rPr>
          <w:b/>
        </w:rPr>
        <w:t xml:space="preserve">Used primarily in: </w:t>
      </w:r>
      <w:r>
        <w:t>Standards &amp; Intelligence Center</w:t>
      </w:r>
    </w:p>
    <w:p>
      <w:bookmarkStart w:id="9143" w:name="GLOSS_100"/>
      <w:pPr>
        <w:pStyle w:val="Heading2"/>
      </w:pPr>
      <w:bookmarkEnd w:id="9143"/>
      <w:r>
        <w:rPr>
          <w:b/>
        </w:rPr>
        <w:t>Trigger (GLOSS-100)</w:t>
      </w:r>
    </w:p>
    <w:p>
      <w:r>
        <w:t>A defined event, condition, threshold, date, or signal that requires a tool, review, decision, action, or escalation.</w:t>
      </w:r>
    </w:p>
    <w:p>
      <w:bookmarkStart w:id="9144" w:name="GLOSS_102"/>
      <w:pPr>
        <w:pStyle w:val="Heading2"/>
      </w:pPr>
      <w:bookmarkEnd w:id="9144"/>
      <w:r>
        <w:rPr>
          <w:b/>
        </w:rPr>
        <w:t>Validation (GLOSS-102)</w:t>
      </w:r>
    </w:p>
    <w:p>
      <w:r>
        <w:t>Confirmation that a design, requirement, tool, or method is appropriate for its intended purpose before or during use.</w:t>
      </w:r>
    </w:p>
    <w:p>
      <w:bookmarkStart w:id="9145" w:name="GLOSS_103"/>
      <w:pPr>
        <w:pStyle w:val="Heading2"/>
      </w:pPr>
      <w:bookmarkEnd w:id="9145"/>
      <w:r>
        <w:rPr>
          <w:b/>
        </w:rPr>
        <w:t>Verification (GLOSS-103)</w:t>
      </w:r>
    </w:p>
    <w:p>
      <w:r>
        <w:t>A fact-based check confirming that a required action occurred and met the defined acceptance criteria.</w:t>
      </w:r>
    </w:p>
    <w:p>
      <w:bookmarkStart w:id="9146" w:name="GLOSS_104"/>
      <w:pPr>
        <w:pStyle w:val="Heading2"/>
      </w:pPr>
      <w:bookmarkEnd w:id="9146"/>
      <w:r>
        <w:rPr>
          <w:b/>
        </w:rPr>
        <w:t>Version control (GLOSS-104)</w:t>
      </w:r>
    </w:p>
    <w:p>
      <w:r>
        <w:t>The method used to identify, approve, release, replace, archive, and trace changes to controlled materials.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94" w:right="1440" w:bottom="979" w:left="1440" w:header="504" w:footer="50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  <w:tbl>
    <w:tblPr>
      <w:tblW w:type="dxa" w:w="9360"/>
      <w:jc w:val="center"/>
      <w:tblLayout w:type="fixed"/>
      <w:tblLook w:firstColumn="1" w:firstRow="1" w:lastColumn="0" w:lastRow="0" w:noHBand="0" w:noVBand="1" w:val="04A0"/>
      <w:tblInd w:w="0" w:type="dxa"/>
    </w:tblPr>
    <w:tblGrid>
      <w:gridCol w:w="7200"/>
      <w:gridCol w:w="2160"/>
    </w:tblGrid>
    <w:tr>
      <w:tc>
        <w:tcPr>
          <w:tcW w:type="dxa" w:w="7200"/>
          <w:tcMar>
            <w:top w:w="80" w:type="dxa"/>
            <w:start w:w="120" w:type="dxa"/>
            <w:bottom w:w="80" w:type="dxa"/>
            <w:end w:w="120" w:type="dxa"/>
          </w:tcMar>
        </w:tcPr>
        <w:p>
          <w:pPr>
            <w:jc w:val="left"/>
          </w:pPr>
          <w:r>
            <w:rPr>
              <w:rFonts w:ascii="Aptos" w:hAnsi="Aptos"/>
              <w:b/>
              <w:i w:val="0"/>
              <w:color w:val="0B2545"/>
              <w:sz w:val="17"/>
            </w:rPr>
            <w:t>THE GRAVITY SYSTEM</w:t>
          </w:r>
        </w:p>
      </w:tc>
      <w:tc>
        <w:tcPr>
          <w:tcW w:type="dxa" w:w="2160"/>
          <w:tcMar>
            <w:top w:w="80" w:type="dxa"/>
            <w:start w:w="120" w:type="dxa"/>
            <w:bottom w:w="80" w:type="dxa"/>
            <w:end w:w="120" w:type="dxa"/>
          </w:tcMar>
        </w:tcPr>
        <w:p>
          <w:pPr>
            <w:jc w:val="right"/>
          </w:pPr>
          <w:r>
            <w:rPr>
              <w:rFonts w:ascii="Aptos" w:hAnsi="Aptos"/>
              <w:b/>
              <w:i w:val="0"/>
              <w:color w:val="5C6570"/>
              <w:sz w:val="18"/>
            </w:rPr>
            <w:fldChar w:fldCharType="begin"/>
            <w:instrText xml:space="preserve"> PAGE </w:instrText>
            <w:fldChar w:fldCharType="end"/>
          </w:r>
        </w:p>
      </w:tc>
    </w:tr>
  </w:tbl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Aptos" w:hAnsi="Aptos"/>
        <w:b/>
        <w:i w:val="0"/>
        <w:color w:val="9B7428"/>
        <w:sz w:val="17"/>
      </w:rPr>
      <w:t>STANDARDS &amp; INTELLIGENCE CENTER | OPERATING MANUAL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283" w:lineRule="auto"/>
    </w:pPr>
    <w:rPr>
      <w:rFonts w:ascii="Aptos" w:hAnsi="Aptos"/>
      <w:color w:val="172231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0B2545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Aptos" w:hAnsi="Aptos"/>
      <w:b/>
      <w:bCs/>
      <w:color w:val="2E74B5"/>
      <w:sz w:val="27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Aptos" w:hAnsi="Aptos"/>
      <w:b/>
      <w:bCs/>
      <w:color w:val="9B7428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160" w:line="240" w:lineRule="auto" w:before="0"/>
      <w:contextualSpacing/>
    </w:pPr>
    <w:rPr>
      <w:rFonts w:asciiTheme="majorHAnsi" w:eastAsiaTheme="majorEastAsia" w:hAnsiTheme="majorHAnsi" w:cstheme="majorBidi" w:ascii="Aptos Display" w:hAnsi="Aptos Display"/>
      <w:b/>
      <w:color w:val="0B2545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numPr>
        <w:ilvl w:val="1"/>
      </w:numPr>
      <w:spacing w:before="0" w:after="320"/>
    </w:pPr>
    <w:rPr>
      <w:rFonts w:asciiTheme="majorHAnsi" w:eastAsiaTheme="majorEastAsia" w:hAnsiTheme="majorHAnsi" w:cstheme="majorBidi" w:ascii="Aptos" w:hAnsi="Aptos"/>
      <w:b w:val="0"/>
      <w:i/>
      <w:iCs/>
      <w:color w:val="5C6570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80" w:line="283" w:lineRule="auto"/>
      <w:ind w:left="547" w:hanging="274"/>
      <w:contextualSpacing/>
    </w:pPr>
    <w:rPr>
      <w:rFonts w:ascii="Aptos" w:hAnsi="Aptos"/>
      <w:sz w:val="21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80" w:line="283" w:lineRule="auto"/>
      <w:ind w:left="547" w:hanging="274"/>
      <w:contextualSpacing/>
    </w:pPr>
    <w:rPr>
      <w:rFonts w:ascii="Aptos" w:hAnsi="Aptos"/>
      <w:sz w:val="21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Relationship Id="rId12" Type="http://schemas.openxmlformats.org/officeDocument/2006/relationships/hyperlink" Target="https://www.fda.gov/food/fda-food-code" TargetMode="External"/><Relationship Id="rId13" Type="http://schemas.openxmlformats.org/officeDocument/2006/relationships/hyperlink" Target="https://www.fda.gov/food/fda-food-code/food-code-2022" TargetMode="External"/><Relationship Id="rId14" Type="http://schemas.openxmlformats.org/officeDocument/2006/relationships/hyperlink" Target="https://www.fda.gov/food/fda-food-code/state-retail-and-food-service-codes-and-regulations-state" TargetMode="External"/><Relationship Id="rId15" Type="http://schemas.openxmlformats.org/officeDocument/2006/relationships/hyperlink" Target="https://www.dol.gov/agencies/whd/compliance-assistance/toolkits/restaurant" TargetMode="External"/><Relationship Id="rId16" Type="http://schemas.openxmlformats.org/officeDocument/2006/relationships/hyperlink" Target="https://www.osha.gov/young-workers-restaurant-safety" TargetMode="External"/><Relationship Id="rId17" Type="http://schemas.openxmlformats.org/officeDocument/2006/relationships/hyperlink" Target="https://www.eeoc.gov/employers/small-business" TargetMode="External"/><Relationship Id="rId18" Type="http://schemas.openxmlformats.org/officeDocument/2006/relationships/hyperlink" Target="https://www.ada.gov/topics/title-iii/" TargetMode="External"/><Relationship Id="rId19" Type="http://schemas.openxmlformats.org/officeDocument/2006/relationships/hyperlink" Target="https://www.ada.gov/resources/web-guidance/" TargetMode="External"/><Relationship Id="rId20" Type="http://schemas.openxmlformats.org/officeDocument/2006/relationships/hyperlink" Target="https://www.ftc.gov/business-guidance" TargetMode="External"/><Relationship Id="rId21" Type="http://schemas.openxmlformats.org/officeDocument/2006/relationships/hyperlink" Target="https://www.ftc.gov/business-guidance/resources/consumer-reviews-testimonials-rule-questions-answers" TargetMode="External"/><Relationship Id="rId22" Type="http://schemas.openxmlformats.org/officeDocument/2006/relationships/hyperlink" Target="https://www.fcc.gov/general/telemarketing" TargetMode="External"/><Relationship Id="rId23" Type="http://schemas.openxmlformats.org/officeDocument/2006/relationships/hyperlink" Target="https://www.nist.gov/publications/nist-cybersecurity-framework-csf-20" TargetMode="External"/><Relationship Id="rId24" Type="http://schemas.openxmlformats.org/officeDocument/2006/relationships/hyperlink" Target="https://www.cisa.gov/cybersecurity-performance-goals-2-0-cpg-2-0" TargetMode="External"/><Relationship Id="rId25" Type="http://schemas.openxmlformats.org/officeDocument/2006/relationships/hyperlink" Target="https://www.nist.gov/privacy-framework" TargetMode="External"/><Relationship Id="rId26" Type="http://schemas.openxmlformats.org/officeDocument/2006/relationships/hyperlink" Target="https://airc.nist.gov/" TargetMode="External"/><Relationship Id="rId27" Type="http://schemas.openxmlformats.org/officeDocument/2006/relationships/hyperlink" Target="https://www.pcisecuritystandards.org/document_library/" TargetMode="External"/><Relationship Id="rId28" Type="http://schemas.openxmlformats.org/officeDocument/2006/relationships/hyperlink" Target="https://restaurant.org/research-and-media/research/research-reports/state-of-the-industry/" TargetMode="External"/><Relationship Id="rId29" Type="http://schemas.openxmlformats.org/officeDocument/2006/relationships/hyperlink" Target="https://restaurant.org/research-and-media/research/research-reports/2024-technology-landscape-report/" TargetMode="External"/><Relationship Id="rId30" Type="http://schemas.openxmlformats.org/officeDocument/2006/relationships/hyperlink" Target="https://www.bls.gov/cp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