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ptos" w:hAnsi="Aptos"/>
          <w:b/>
          <w:i w:val="0"/>
          <w:color w:val="C9972B"/>
          <w:sz w:val="18"/>
        </w:rPr>
        <w:t>THOMAS MONROE BOOKS</w:t>
      </w:r>
    </w:p>
    <w:p>
      <w:pPr>
        <w:jc w:val="center"/>
      </w:pPr>
      <w:r>
        <w:rPr>
          <w:rFonts w:ascii="Georgia" w:hAnsi="Georgia"/>
          <w:b/>
          <w:i w:val="0"/>
          <w:color w:val="0D1B2A"/>
          <w:sz w:val="60"/>
        </w:rPr>
        <w:t>Employee Training &amp; SOP Tracker</w:t>
      </w:r>
    </w:p>
    <w:p>
      <w:pPr>
        <w:jc w:val="center"/>
      </w:pPr>
      <w:r>
        <w:rPr>
          <w:rFonts w:ascii="Aptos" w:hAnsi="Aptos"/>
          <w:b w:val="0"/>
          <w:i w:val="0"/>
          <w:color w:val="334155"/>
          <w:sz w:val="24"/>
        </w:rPr>
        <w:t>The Restaurant Manager’s Toolkit, Book 1 - Sample Preview</w:t>
      </w:r>
    </w:p>
    <w:p/>
    <w:p>
      <w:pPr>
        <w:jc w:val="center"/>
      </w:pPr>
      <w:r>
        <w:drawing>
          <wp:inline xmlns:a="http://schemas.openxmlformats.org/drawingml/2006/main" xmlns:pic="http://schemas.openxmlformats.org/drawingml/2006/picture">
            <wp:extent cx="2514600" cy="4023360"/>
            <wp:docPr id="1" name="Picture 1"/>
            <wp:cNvGraphicFramePr>
              <a:graphicFrameLocks noChangeAspect="1"/>
            </wp:cNvGraphicFramePr>
            <a:graphic>
              <a:graphicData uri="http://schemas.openxmlformats.org/drawingml/2006/picture">
                <pic:pic>
                  <pic:nvPicPr>
                    <pic:cNvPr id="0" name="cover-employee-training-sop-tracker.png"/>
                    <pic:cNvPicPr/>
                  </pic:nvPicPr>
                  <pic:blipFill>
                    <a:blip r:embed="rId11"/>
                    <a:stretch>
                      <a:fillRect/>
                    </a:stretch>
                  </pic:blipFill>
                  <pic:spPr>
                    <a:xfrm>
                      <a:off x="0" y="0"/>
                      <a:ext cx="2514600" cy="4023360"/>
                    </a:xfrm>
                    <a:prstGeom prst="rect"/>
                  </pic:spPr>
                </pic:pic>
              </a:graphicData>
            </a:graphic>
          </wp:inline>
        </w:drawing>
      </w:r>
    </w:p>
    <w:p/>
    <w:p>
      <w:pPr>
        <w:jc w:val="center"/>
      </w:pPr>
      <w:r>
        <w:rPr>
          <w:rFonts w:ascii="Aptos" w:hAnsi="Aptos"/>
          <w:b w:val="0"/>
          <w:i w:val="0"/>
          <w:color w:val="1E293B"/>
          <w:sz w:val="22"/>
        </w:rPr>
        <w:t>A practical workbook for onboarding, SOP training, task mastery, staff development, trainer sign-offs, and manager accountability.</w:t>
      </w:r>
    </w:p>
    <w:p>
      <w:pPr>
        <w:jc w:val="center"/>
      </w:pPr>
      <w:r>
        <w:rPr>
          <w:rFonts w:ascii="Aptos" w:hAnsi="Aptos"/>
          <w:b/>
          <w:i w:val="0"/>
          <w:color w:val="6B7280"/>
          <w:sz w:val="17"/>
        </w:rPr>
        <w:t>This sample is a preview only. It is not the full book.</w:t>
      </w:r>
    </w:p>
    <w:p>
      <w:r>
        <w:br w:type="page"/>
      </w:r>
    </w:p>
    <w:p>
      <w:pPr>
        <w:pStyle w:val="Heading1"/>
      </w:pPr>
      <w:r>
        <w:t>What this workbook helps a manager build</w:t>
      </w:r>
    </w:p>
    <w:p>
      <w:pPr>
        <w:pStyle w:val="ListBullet"/>
        <w:spacing w:after="40"/>
      </w:pPr>
      <w:r>
        <w:rPr>
          <w:rFonts w:ascii="Aptos" w:hAnsi="Aptos"/>
          <w:b w:val="0"/>
          <w:i w:val="0"/>
          <w:color w:val="111827"/>
          <w:sz w:val="20"/>
        </w:rPr>
        <w:t>A clearer onboarding path for new hires.</w:t>
      </w:r>
    </w:p>
    <w:p>
      <w:pPr>
        <w:pStyle w:val="ListBullet"/>
        <w:spacing w:after="40"/>
      </w:pPr>
      <w:r>
        <w:rPr>
          <w:rFonts w:ascii="Aptos" w:hAnsi="Aptos"/>
          <w:b w:val="0"/>
          <w:i w:val="0"/>
          <w:color w:val="111827"/>
          <w:sz w:val="20"/>
        </w:rPr>
        <w:t>Role-specific training trackers for FOH and BOH positions.</w:t>
      </w:r>
    </w:p>
    <w:p>
      <w:pPr>
        <w:pStyle w:val="ListBullet"/>
        <w:spacing w:after="40"/>
      </w:pPr>
      <w:r>
        <w:rPr>
          <w:rFonts w:ascii="Aptos" w:hAnsi="Aptos"/>
          <w:b w:val="0"/>
          <w:i w:val="0"/>
          <w:color w:val="111827"/>
          <w:sz w:val="20"/>
        </w:rPr>
        <w:t>Task mastery sheets so employees can be certified by skill, not by memory.</w:t>
      </w:r>
    </w:p>
    <w:p>
      <w:pPr>
        <w:pStyle w:val="ListBullet"/>
        <w:spacing w:after="40"/>
      </w:pPr>
      <w:r>
        <w:rPr>
          <w:rFonts w:ascii="Aptos" w:hAnsi="Aptos"/>
          <w:b w:val="0"/>
          <w:i w:val="0"/>
          <w:color w:val="111827"/>
          <w:sz w:val="20"/>
        </w:rPr>
        <w:t>Trainer sign-off pages so training is documented.</w:t>
      </w:r>
    </w:p>
    <w:p>
      <w:pPr>
        <w:pStyle w:val="ListBullet"/>
        <w:spacing w:after="40"/>
      </w:pPr>
      <w:r>
        <w:rPr>
          <w:rFonts w:ascii="Aptos" w:hAnsi="Aptos"/>
          <w:b w:val="0"/>
          <w:i w:val="0"/>
          <w:color w:val="111827"/>
          <w:sz w:val="20"/>
        </w:rPr>
        <w:t>Coaching and retraining logs for follow-up and accountability.</w:t>
      </w:r>
    </w:p>
    <w:p>
      <w:pPr>
        <w:pStyle w:val="ListBullet"/>
        <w:spacing w:after="40"/>
      </w:pPr>
      <w:r>
        <w:rPr>
          <w:rFonts w:ascii="Aptos" w:hAnsi="Aptos"/>
          <w:b w:val="0"/>
          <w:i w:val="0"/>
          <w:color w:val="111827"/>
          <w:sz w:val="20"/>
        </w:rPr>
        <w:t>30/60/90-day review structure for early employee development.</w:t>
      </w:r>
    </w:p>
    <w:p>
      <w:r>
        <w:br w:type="page"/>
      </w:r>
    </w:p>
    <w:p>
      <w:pPr>
        <w:pStyle w:val="Heading1"/>
      </w:pPr>
      <w:r>
        <w:t>New Hire Readiness Checklist</w:t>
      </w:r>
    </w:p>
    <w:tbl>
      <w:tblPr>
        <w:tblStyle w:val="TableGrid"/>
        <w:tblW w:type="auto" w:w="0"/>
        <w:jc w:val="center"/>
        <w:tblLook w:firstColumn="1" w:firstRow="1" w:lastColumn="0" w:lastRow="0" w:noHBand="0" w:noVBand="1" w:val="04A0"/>
      </w:tblPr>
      <w:tblGrid>
        <w:gridCol w:w="3389"/>
        <w:gridCol w:w="3389"/>
        <w:gridCol w:w="3389"/>
      </w:tblGrid>
      <w:tr>
        <w:tc>
          <w:tcPr>
            <w:tcW w:type="dxa" w:w="3389"/>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Item</w:t>
            </w:r>
          </w:p>
        </w:tc>
        <w:tc>
          <w:tcPr>
            <w:tcW w:type="dxa" w:w="3389"/>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Ready?</w:t>
            </w:r>
          </w:p>
        </w:tc>
        <w:tc>
          <w:tcPr>
            <w:tcW w:type="dxa" w:w="3389"/>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Manager Notes</w:t>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Position and start date confirmed</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Uniform and appearance standards explained</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Required paperwork complete</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Training schedule assigned</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Trainer assigned</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r>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First-day expectations explained</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 Yes  [ ] No</w:t>
            </w:r>
          </w:p>
        </w:tc>
        <w:tc>
          <w:tcPr>
            <w:tcW w:type="dxa" w:w="3389"/>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r>
          </w:p>
        </w:tc>
      </w:tr>
    </w:tbl>
    <w:p/>
    <w:p>
      <w:r>
        <w:br w:type="page"/>
      </w:r>
    </w:p>
    <w:p>
      <w:pPr>
        <w:pStyle w:val="Heading1"/>
      </w:pPr>
      <w:r>
        <w:t>Task Mastery Sign-Off</w:t>
      </w:r>
    </w:p>
    <w:tbl>
      <w:tblPr>
        <w:tblStyle w:val="TableGrid"/>
        <w:tblW w:type="auto" w:w="0"/>
        <w:jc w:val="center"/>
        <w:tblLook w:firstColumn="1" w:firstRow="1" w:lastColumn="0" w:lastRow="0" w:noHBand="0" w:noVBand="1" w:val="04A0"/>
      </w:tblPr>
      <w:tblGrid>
        <w:gridCol w:w="2541"/>
        <w:gridCol w:w="2541"/>
        <w:gridCol w:w="2541"/>
        <w:gridCol w:w="2541"/>
      </w:tblGrid>
      <w:tr>
        <w:tc>
          <w:tcPr>
            <w:tcW w:type="dxa" w:w="2541"/>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Task</w:t>
            </w:r>
          </w:p>
        </w:tc>
        <w:tc>
          <w:tcPr>
            <w:tcW w:type="dxa" w:w="2541"/>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Observed</w:t>
            </w:r>
          </w:p>
        </w:tc>
        <w:tc>
          <w:tcPr>
            <w:tcW w:type="dxa" w:w="2541"/>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Practiced</w:t>
            </w:r>
          </w:p>
        </w:tc>
        <w:tc>
          <w:tcPr>
            <w:tcW w:type="dxa" w:w="2541"/>
            <w:vAlign w:val="top"/>
            <w:tcBorders>
              <w:top w:val="single" w:sz="6" w:space="0" w:color="D9C7A5"/>
              <w:left w:val="single" w:sz="6" w:space="0" w:color="D9C7A5"/>
              <w:bottom w:val="single" w:sz="6" w:space="0" w:color="D9C7A5"/>
              <w:right w:val="single" w:sz="6" w:space="0" w:color="D9C7A5"/>
            </w:tcBorders>
            <w:shd w:fill="0D1B2A"/>
          </w:tcPr>
          <w:p>
            <w:pPr>
              <w:spacing w:after="0"/>
            </w:pPr>
            <w:r>
              <w:rPr>
                <w:rFonts w:ascii="Aptos" w:hAnsi="Aptos"/>
                <w:b/>
                <w:i w:val="0"/>
                <w:color w:val="FFFFFF"/>
                <w:sz w:val="18"/>
              </w:rPr>
              <w:t>Certified</w:t>
            </w:r>
          </w:p>
        </w:tc>
      </w:tr>
      <w:tr>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Opening station setup</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r>
      <w:tr>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Guest greeting standard</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r>
      <w:tr>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POS order entry</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r>
      <w:tr>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Side-work completion</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r>
      <w:tr>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Closing handoff</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c>
          <w:tcPr>
            <w:tcW w:type="dxa" w:w="2541"/>
            <w:vAlign w:val="top"/>
            <w:tcBorders>
              <w:top w:val="single" w:sz="6" w:space="0" w:color="D9C7A5"/>
              <w:left w:val="single" w:sz="6" w:space="0" w:color="D9C7A5"/>
              <w:bottom w:val="single" w:sz="6" w:space="0" w:color="D9C7A5"/>
              <w:right w:val="single" w:sz="6" w:space="0" w:color="D9C7A5"/>
            </w:tcBorders>
          </w:tcPr>
          <w:p>
            <w:pPr>
              <w:spacing w:after="0"/>
            </w:pPr>
            <w:r>
              <w:rPr>
                <w:rFonts w:ascii="Aptos" w:hAnsi="Aptos"/>
                <w:b w:val="0"/>
                <w:i w:val="0"/>
                <w:color w:val="111827"/>
                <w:sz w:val="17"/>
              </w:rPr>
              <w:t>[ ]</w:t>
            </w:r>
          </w:p>
        </w:tc>
      </w:tr>
    </w:tbl>
    <w:p/>
    <w:p>
      <w:pPr>
        <w:spacing w:after="120"/>
      </w:pPr>
      <w:r>
        <w:rPr>
          <w:rFonts w:ascii="Aptos" w:hAnsi="Aptos"/>
          <w:b w:val="0"/>
          <w:i w:val="0"/>
          <w:color w:val="111827"/>
          <w:sz w:val="21"/>
        </w:rPr>
        <w:t>A task should not be marked complete just because the employee heard it explained. It should be marked complete when the employee can perform the task correctly, consistently, and without being rescued.</w:t>
      </w:r>
    </w:p>
    <w:sectPr w:rsidR="00FC693F" w:rsidRPr="0006063C" w:rsidSect="00034616">
      <w:headerReference w:type="default" r:id="rId9"/>
      <w:footerReference w:type="default" r:id="rId10"/>
      <w:pgSz w:w="12240" w:h="15840"/>
      <w:pgMar w:top="864" w:right="1037" w:bottom="864" w:left="1037" w:header="720" w:footer="720" w:gutter="0"/>
      <w:cols w:space="720"/>
      <w:docGrid w:linePitch="360"/>
      <w:pgBorders w:offsetFrom="page">
        <w:top w:val="single" w:sz="8" w:space="18" w:color="C9972B"/>
        <w:left w:val="single" w:sz="8" w:space="18" w:color="C9972B"/>
        <w:bottom w:val="single" w:sz="8" w:space="18" w:color="C9972B"/>
        <w:right w:val="single" w:sz="8" w:space="18" w:color="C9972B"/>
      </w:pgBorder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7280"/>
        <w:sz w:val="16"/>
      </w:rPr>
      <w:t>Preview sample only - not the full book</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6B7280"/>
        <w:sz w:val="16"/>
      </w:rPr>
      <w:t>THOMAS MONROE BOOKS - SAMPLE PREVIEW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D1B2A"/>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8B1E1E"/>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