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0D1B2A"/>
          <w:sz w:val="48"/>
        </w:rPr>
        <w:t>Planning for Service</w:t>
      </w:r>
    </w:p>
    <w:p>
      <w:pPr>
        <w:jc w:val="center"/>
      </w:pPr>
      <w:r>
        <w:rPr>
          <w:color w:val="8B1E1E"/>
          <w:sz w:val="20"/>
        </w:rPr>
        <w:t>Customer Preview Sample • Thomas Monroe Books</w:t>
      </w:r>
    </w:p>
    <w:p>
      <w:r>
        <w:rPr>
          <w:rFonts w:ascii="Georgia" w:hAnsi="Georgia"/>
          <w:b/>
          <w:color w:val="0D1B2A"/>
          <w:sz w:val="30"/>
        </w:rPr>
        <w:t>Where this fits in the system</w:t>
      </w:r>
    </w:p>
    <w:p>
      <w:r>
        <w:rPr>
          <w:sz w:val="22"/>
        </w:rPr>
        <w:t>Use after The Owner’s Chair and before the Toolkit workbooks. It teaches the operating mindset that makes the tools work.</w:t>
      </w:r>
    </w:p>
    <w:p>
      <w:r>
        <w:rPr>
          <w:rFonts w:ascii="Georgia" w:hAnsi="Georgia"/>
          <w:b/>
          <w:color w:val="0D1B2A"/>
          <w:sz w:val="30"/>
        </w:rPr>
        <w:t>What the reader gains</w:t>
      </w:r>
    </w:p>
    <w:p>
      <w:r>
        <w:rPr>
          <w:sz w:val="22"/>
        </w:rPr>
        <w:t>Managers learn how to prepare the shift before pressure exposes what was never planned.</w:t>
      </w:r>
    </w:p>
    <w:p>
      <w:r>
        <w:rPr>
          <w:rFonts w:ascii="Georgia" w:hAnsi="Georgia"/>
          <w:b/>
          <w:color w:val="0D1B2A"/>
          <w:sz w:val="30"/>
        </w:rPr>
        <w:t>Table of Contents Preview</w:t>
      </w:r>
    </w:p>
    <w:p>
      <w:pPr>
        <w:pStyle w:val="ListNumber"/>
      </w:pPr>
      <w:r>
        <w:rPr>
          <w:sz w:val="21"/>
        </w:rPr>
        <w:t>Why Service Must Be Planned Before It Is Performed</w:t>
      </w:r>
    </w:p>
    <w:p>
      <w:pPr>
        <w:pStyle w:val="ListNumber"/>
      </w:pPr>
      <w:r>
        <w:rPr>
          <w:sz w:val="21"/>
        </w:rPr>
        <w:t>The Shift Starts Before the Door Opens</w:t>
      </w:r>
    </w:p>
    <w:p>
      <w:pPr>
        <w:pStyle w:val="ListNumber"/>
      </w:pPr>
      <w:r>
        <w:rPr>
          <w:sz w:val="21"/>
        </w:rPr>
        <w:t>Role Clarity and Readiness</w:t>
      </w:r>
    </w:p>
    <w:p>
      <w:pPr>
        <w:pStyle w:val="ListNumber"/>
      </w:pPr>
      <w:r>
        <w:rPr>
          <w:sz w:val="21"/>
        </w:rPr>
        <w:t>Guest Flow, Timing, and Pace</w:t>
      </w:r>
    </w:p>
    <w:p>
      <w:pPr>
        <w:pStyle w:val="ListNumber"/>
      </w:pPr>
      <w:r>
        <w:rPr>
          <w:sz w:val="21"/>
        </w:rPr>
        <w:t>Communication Before Pressure</w:t>
      </w:r>
    </w:p>
    <w:p>
      <w:pPr>
        <w:pStyle w:val="ListNumber"/>
      </w:pPr>
      <w:r>
        <w:rPr>
          <w:sz w:val="21"/>
        </w:rPr>
        <w:t>Station Readiness and Manager Walkthroughs</w:t>
      </w:r>
    </w:p>
    <w:p>
      <w:pPr>
        <w:pStyle w:val="ListNumber"/>
      </w:pPr>
      <w:r>
        <w:rPr>
          <w:sz w:val="21"/>
        </w:rPr>
        <w:t>Preparing for Recovery Before Something Goes Wrong</w:t>
      </w:r>
    </w:p>
    <w:p>
      <w:pPr>
        <w:pStyle w:val="ListNumber"/>
      </w:pPr>
      <w:r>
        <w:rPr>
          <w:sz w:val="21"/>
        </w:rPr>
        <w:t>Preshift Standards That Actually Matter</w:t>
      </w:r>
    </w:p>
    <w:p>
      <w:pPr>
        <w:pStyle w:val="ListNumber"/>
      </w:pPr>
      <w:r>
        <w:rPr>
          <w:sz w:val="21"/>
        </w:rPr>
        <w:t>How Better Planning Protects the Guest and the Team</w:t>
      </w:r>
    </w:p>
    <w:p>
      <w:pPr>
        <w:pStyle w:val="ListNumber"/>
      </w:pPr>
      <w:r>
        <w:rPr>
          <w:sz w:val="21"/>
        </w:rPr>
        <w:t>Turning Service Planning Into a Repeatable System</w:t>
      </w:r>
    </w:p>
    <w:p>
      <w:r>
        <w:rPr>
          <w:rFonts w:ascii="Georgia" w:hAnsi="Georgia"/>
          <w:b/>
          <w:color w:val="0D1B2A"/>
          <w:sz w:val="30"/>
        </w:rPr>
        <w:t>Sample Page: The Work Before the Work</w:t>
      </w:r>
    </w:p>
    <w:p>
      <w:r>
        <w:rPr>
          <w:sz w:val="22"/>
        </w:rPr>
        <w:t>A restaurant does not become consistent during the rush. It becomes consistent in the decisions made before the rush begins. The manager who waits until pressure arrives is already late. The strongest service systems are built before the guest walks in, before the station falls behind, and before the team has to guess what matters most.</w:t>
      </w:r>
    </w:p>
    <w:p>
      <w:r>
        <w:rPr>
          <w:sz w:val="22"/>
        </w:rPr>
        <w:t>This preview shows the purpose of the Systems of Service lane: to teach the thinking behind preparation, communication, timing, recovery, and calm standards before managers move into the workbook tools. Replace this preview with exact final interior pages before launch if needed.</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