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0D1B2A"/>
          <w:sz w:val="48"/>
        </w:rPr>
        <w:t>The Quiet Systems of Service</w:t>
      </w:r>
    </w:p>
    <w:p>
      <w:pPr>
        <w:jc w:val="center"/>
      </w:pPr>
      <w:r>
        <w:rPr>
          <w:color w:val="8B1E1E"/>
          <w:sz w:val="20"/>
        </w:rPr>
        <w:t>Customer Preview Sample • Thomas Monroe Books</w:t>
      </w:r>
    </w:p>
    <w:p>
      <w:r>
        <w:rPr>
          <w:rFonts w:ascii="Georgia" w:hAnsi="Georgia"/>
          <w:b/>
          <w:color w:val="0D1B2A"/>
          <w:sz w:val="30"/>
        </w:rPr>
        <w:t>Where this fits in the system</w:t>
      </w:r>
    </w:p>
    <w:p>
      <w:r>
        <w:rPr>
          <w:sz w:val="22"/>
        </w:rPr>
        <w:t>Use after the main service system is understood. It deepens the culture, calm leadership, and trust side of operations.</w:t>
      </w:r>
    </w:p>
    <w:p>
      <w:r>
        <w:rPr>
          <w:rFonts w:ascii="Georgia" w:hAnsi="Georgia"/>
          <w:b/>
          <w:color w:val="0D1B2A"/>
          <w:sz w:val="30"/>
        </w:rPr>
        <w:t>What the reader gains</w:t>
      </w:r>
    </w:p>
    <w:p>
      <w:r>
        <w:rPr>
          <w:sz w:val="22"/>
        </w:rPr>
        <w:t>Managers learn the quiet systems that make service feel controlled, respectful, prepared, and steady.</w:t>
      </w:r>
    </w:p>
    <w:p>
      <w:r>
        <w:rPr>
          <w:rFonts w:ascii="Georgia" w:hAnsi="Georgia"/>
          <w:b/>
          <w:color w:val="0D1B2A"/>
          <w:sz w:val="30"/>
        </w:rPr>
        <w:t>Table of Contents Preview</w:t>
      </w:r>
    </w:p>
    <w:p>
      <w:pPr>
        <w:pStyle w:val="ListNumber"/>
      </w:pPr>
      <w:r>
        <w:rPr>
          <w:sz w:val="21"/>
        </w:rPr>
        <w:t>The Quiet Systems Guests Feel but Cannot Name</w:t>
      </w:r>
    </w:p>
    <w:p>
      <w:pPr>
        <w:pStyle w:val="ListNumber"/>
      </w:pPr>
      <w:r>
        <w:rPr>
          <w:sz w:val="21"/>
        </w:rPr>
        <w:t>Calm Leadership During a Busy Shift</w:t>
      </w:r>
    </w:p>
    <w:p>
      <w:pPr>
        <w:pStyle w:val="ListNumber"/>
      </w:pPr>
      <w:r>
        <w:rPr>
          <w:sz w:val="21"/>
        </w:rPr>
        <w:t>The Difference Between Control and Presence</w:t>
      </w:r>
    </w:p>
    <w:p>
      <w:pPr>
        <w:pStyle w:val="ListNumber"/>
      </w:pPr>
      <w:r>
        <w:rPr>
          <w:sz w:val="21"/>
        </w:rPr>
        <w:t>Trust as an Operating System</w:t>
      </w:r>
    </w:p>
    <w:p>
      <w:pPr>
        <w:pStyle w:val="ListNumber"/>
      </w:pPr>
      <w:r>
        <w:rPr>
          <w:sz w:val="21"/>
        </w:rPr>
        <w:t>Small Signals That Shape Service</w:t>
      </w:r>
    </w:p>
    <w:p>
      <w:pPr>
        <w:pStyle w:val="ListNumber"/>
      </w:pPr>
      <w:r>
        <w:rPr>
          <w:sz w:val="21"/>
        </w:rPr>
        <w:t>Shared Responsibility Across the Floor</w:t>
      </w:r>
    </w:p>
    <w:p>
      <w:pPr>
        <w:pStyle w:val="ListNumber"/>
      </w:pPr>
      <w:r>
        <w:rPr>
          <w:sz w:val="21"/>
        </w:rPr>
        <w:t>Recovery That Preserves Dignity</w:t>
      </w:r>
    </w:p>
    <w:p>
      <w:pPr>
        <w:pStyle w:val="ListNumber"/>
      </w:pPr>
      <w:r>
        <w:rPr>
          <w:sz w:val="21"/>
        </w:rPr>
        <w:t>Consistency Without Harshness</w:t>
      </w:r>
    </w:p>
    <w:p>
      <w:pPr>
        <w:pStyle w:val="ListNumber"/>
      </w:pPr>
      <w:r>
        <w:rPr>
          <w:sz w:val="21"/>
        </w:rPr>
        <w:t>What the Team Learns From the Leader’s Tone</w:t>
      </w:r>
    </w:p>
    <w:p>
      <w:pPr>
        <w:pStyle w:val="ListNumber"/>
      </w:pPr>
      <w:r>
        <w:rPr>
          <w:sz w:val="21"/>
        </w:rPr>
        <w:t>Leaving a Stronger Service Culture Behind</w:t>
      </w:r>
    </w:p>
    <w:p>
      <w:r>
        <w:rPr>
          <w:rFonts w:ascii="Georgia" w:hAnsi="Georgia"/>
          <w:b/>
          <w:color w:val="0D1B2A"/>
          <w:sz w:val="30"/>
        </w:rPr>
        <w:t>Sample Page: The Work Before the Work</w:t>
      </w:r>
    </w:p>
    <w:p>
      <w:r>
        <w:rPr>
          <w:sz w:val="22"/>
        </w:rPr>
        <w:t>A restaurant does not become consistent during the rush. It becomes consistent in the decisions made before the rush begins. The manager who waits until pressure arrives is already late. The strongest service systems are built before the guest walks in, before the station falls behind, and before the team has to guess what matters most.</w:t>
      </w:r>
    </w:p>
    <w:p>
      <w:r>
        <w:rPr>
          <w:sz w:val="22"/>
        </w:rPr>
        <w:t>This preview shows the purpose of the Systems of Service lane: to teach the thinking behind preparation, communication, timing, recovery, and calm standards before managers move into the workbook tools. Replace this preview with exact final interior pages before launch if needed.</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